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085" w:rsidRPr="00747C1C" w:rsidRDefault="004572B6" w:rsidP="00747C1C">
      <w:pPr>
        <w:jc w:val="center"/>
        <w:rPr>
          <w:b/>
          <w:sz w:val="32"/>
          <w:szCs w:val="32"/>
          <w:u w:val="single"/>
        </w:rPr>
      </w:pPr>
      <w:r>
        <w:rPr>
          <w:b/>
          <w:sz w:val="32"/>
          <w:szCs w:val="32"/>
          <w:u w:val="single"/>
        </w:rPr>
        <w:t>PPE Compliance Conformance</w:t>
      </w:r>
    </w:p>
    <w:p w:rsidR="00354B58" w:rsidRPr="00235E29" w:rsidRDefault="00F145F8" w:rsidP="00235E29">
      <w:pPr>
        <w:jc w:val="both"/>
        <w:rPr>
          <w:rFonts w:cstheme="minorHAnsi"/>
          <w:b/>
          <w:sz w:val="24"/>
          <w:szCs w:val="24"/>
        </w:rPr>
      </w:pPr>
      <w:r w:rsidRPr="00235E29">
        <w:rPr>
          <w:rFonts w:cstheme="minorHAnsi"/>
          <w:b/>
          <w:sz w:val="24"/>
          <w:szCs w:val="24"/>
        </w:rPr>
        <w:t xml:space="preserve">Before purchasing PPE for your premises, ensure that it meets the EU/BS </w:t>
      </w:r>
      <w:r w:rsidR="00747C1C" w:rsidRPr="00235E29">
        <w:rPr>
          <w:rFonts w:cstheme="minorHAnsi"/>
          <w:b/>
          <w:sz w:val="24"/>
          <w:szCs w:val="24"/>
        </w:rPr>
        <w:t xml:space="preserve">certification </w:t>
      </w:r>
      <w:r w:rsidRPr="00235E29">
        <w:rPr>
          <w:rFonts w:cstheme="minorHAnsi"/>
          <w:b/>
          <w:sz w:val="24"/>
          <w:szCs w:val="24"/>
        </w:rPr>
        <w:t>standard</w:t>
      </w:r>
      <w:r w:rsidR="00747C1C" w:rsidRPr="00235E29">
        <w:rPr>
          <w:rFonts w:cstheme="minorHAnsi"/>
          <w:b/>
          <w:sz w:val="24"/>
          <w:szCs w:val="24"/>
        </w:rPr>
        <w:t>.</w:t>
      </w:r>
    </w:p>
    <w:p w:rsidR="00747C1C" w:rsidRDefault="00747C1C" w:rsidP="00235E29">
      <w:pPr>
        <w:jc w:val="both"/>
        <w:rPr>
          <w:rFonts w:cstheme="minorHAnsi"/>
          <w:b/>
          <w:sz w:val="24"/>
          <w:szCs w:val="24"/>
          <w:shd w:val="clear" w:color="auto" w:fill="FFFFFF"/>
        </w:rPr>
      </w:pPr>
      <w:r w:rsidRPr="00235E29">
        <w:rPr>
          <w:rFonts w:cstheme="minorHAnsi"/>
          <w:b/>
          <w:sz w:val="24"/>
          <w:szCs w:val="24"/>
          <w:shd w:val="clear" w:color="auto" w:fill="FFFFFF"/>
        </w:rPr>
        <w:t>Compliance with the EU legislation on PPE (Regulation (EU) 2016/425) ensures that PPE are safe to be used by the wearer and at the same time offer the necessary and claimed protection</w:t>
      </w:r>
      <w:r w:rsidR="00354B58">
        <w:rPr>
          <w:rFonts w:cstheme="minorHAnsi"/>
          <w:b/>
          <w:sz w:val="24"/>
          <w:szCs w:val="24"/>
          <w:shd w:val="clear" w:color="auto" w:fill="FFFFFF"/>
        </w:rPr>
        <w:t>.</w:t>
      </w:r>
    </w:p>
    <w:p w:rsidR="00354B58" w:rsidRDefault="00354B58" w:rsidP="00235E29">
      <w:pPr>
        <w:jc w:val="both"/>
        <w:rPr>
          <w:rFonts w:cstheme="minorHAnsi"/>
          <w:b/>
          <w:sz w:val="24"/>
          <w:szCs w:val="24"/>
          <w:shd w:val="clear" w:color="auto" w:fill="FFFFFF"/>
        </w:rPr>
      </w:pPr>
      <w:r>
        <w:rPr>
          <w:rFonts w:cstheme="minorHAnsi"/>
          <w:b/>
          <w:sz w:val="24"/>
          <w:szCs w:val="24"/>
          <w:shd w:val="clear" w:color="auto" w:fill="FFFFFF"/>
        </w:rPr>
        <w:t xml:space="preserve">Ask for Safety Data Sheet with the purchase of hand </w:t>
      </w:r>
      <w:proofErr w:type="spellStart"/>
      <w:r>
        <w:rPr>
          <w:rFonts w:cstheme="minorHAnsi"/>
          <w:b/>
          <w:sz w:val="24"/>
          <w:szCs w:val="24"/>
          <w:shd w:val="clear" w:color="auto" w:fill="FFFFFF"/>
        </w:rPr>
        <w:t>sanatiser</w:t>
      </w:r>
      <w:proofErr w:type="spellEnd"/>
      <w:r>
        <w:rPr>
          <w:rFonts w:cstheme="minorHAnsi"/>
          <w:b/>
          <w:sz w:val="24"/>
          <w:szCs w:val="24"/>
          <w:shd w:val="clear" w:color="auto" w:fill="FFFFFF"/>
        </w:rPr>
        <w:t xml:space="preserve"> and any other chemical based items.   </w:t>
      </w:r>
    </w:p>
    <w:p w:rsidR="00354B58" w:rsidRDefault="00354B58" w:rsidP="00235E29">
      <w:pPr>
        <w:jc w:val="both"/>
        <w:rPr>
          <w:rFonts w:cstheme="minorHAnsi"/>
          <w:b/>
          <w:sz w:val="24"/>
          <w:szCs w:val="24"/>
          <w:shd w:val="clear" w:color="auto" w:fill="FFFFFF"/>
        </w:rPr>
      </w:pPr>
      <w:r>
        <w:rPr>
          <w:rFonts w:cstheme="minorHAnsi"/>
          <w:b/>
          <w:sz w:val="24"/>
          <w:szCs w:val="24"/>
          <w:shd w:val="clear" w:color="auto" w:fill="FFFFFF"/>
        </w:rPr>
        <w:t>Ask for manufacturer guidance for equipment purchased in response to covid-19.</w:t>
      </w:r>
    </w:p>
    <w:p w:rsidR="00354B58" w:rsidRPr="00235E29" w:rsidRDefault="00354B58" w:rsidP="00235E29">
      <w:pPr>
        <w:jc w:val="both"/>
        <w:rPr>
          <w:rFonts w:cstheme="minorHAnsi"/>
          <w:b/>
          <w:sz w:val="24"/>
          <w:szCs w:val="24"/>
        </w:rPr>
      </w:pPr>
      <w:r>
        <w:rPr>
          <w:rFonts w:cstheme="minorHAnsi"/>
          <w:b/>
          <w:sz w:val="24"/>
          <w:szCs w:val="24"/>
          <w:shd w:val="clear" w:color="auto" w:fill="FFFFFF"/>
        </w:rPr>
        <w:t>Ask for relevant certification conformity paperwork with all your PPE purchase.</w:t>
      </w:r>
    </w:p>
    <w:tbl>
      <w:tblPr>
        <w:tblStyle w:val="TableGrid"/>
        <w:tblW w:w="9750" w:type="dxa"/>
        <w:tblLook w:val="04A0" w:firstRow="1" w:lastRow="0" w:firstColumn="1" w:lastColumn="0" w:noHBand="0" w:noVBand="1"/>
      </w:tblPr>
      <w:tblGrid>
        <w:gridCol w:w="2616"/>
        <w:gridCol w:w="3769"/>
        <w:gridCol w:w="3365"/>
      </w:tblGrid>
      <w:tr w:rsidR="001B6FC6" w:rsidTr="004572B6">
        <w:trPr>
          <w:trHeight w:val="573"/>
        </w:trPr>
        <w:tc>
          <w:tcPr>
            <w:tcW w:w="2263" w:type="dxa"/>
          </w:tcPr>
          <w:p w:rsidR="001B6FC6" w:rsidRPr="00090335" w:rsidRDefault="001B6FC6">
            <w:pPr>
              <w:rPr>
                <w:b/>
                <w:sz w:val="16"/>
                <w:szCs w:val="16"/>
              </w:rPr>
            </w:pPr>
            <w:r w:rsidRPr="00090335">
              <w:rPr>
                <w:b/>
                <w:sz w:val="16"/>
                <w:szCs w:val="16"/>
              </w:rPr>
              <w:t>PPE</w:t>
            </w:r>
          </w:p>
        </w:tc>
        <w:tc>
          <w:tcPr>
            <w:tcW w:w="3995" w:type="dxa"/>
          </w:tcPr>
          <w:p w:rsidR="001B6FC6" w:rsidRPr="00090335" w:rsidRDefault="001B6FC6">
            <w:pPr>
              <w:rPr>
                <w:rFonts w:ascii="Arial" w:hAnsi="Arial" w:cs="Arial"/>
                <w:b/>
                <w:bCs/>
                <w:color w:val="222222"/>
                <w:sz w:val="16"/>
                <w:szCs w:val="16"/>
                <w:shd w:val="clear" w:color="auto" w:fill="FFFFFF"/>
              </w:rPr>
            </w:pPr>
            <w:r w:rsidRPr="00090335">
              <w:rPr>
                <w:b/>
                <w:sz w:val="16"/>
                <w:szCs w:val="16"/>
              </w:rPr>
              <w:t>Essential Technical Requirements</w:t>
            </w:r>
          </w:p>
        </w:tc>
        <w:tc>
          <w:tcPr>
            <w:tcW w:w="3492" w:type="dxa"/>
          </w:tcPr>
          <w:p w:rsidR="001B6FC6" w:rsidRPr="00090335" w:rsidRDefault="001B6FC6">
            <w:pPr>
              <w:rPr>
                <w:rFonts w:ascii="Arial" w:hAnsi="Arial" w:cs="Arial"/>
                <w:b/>
                <w:bCs/>
                <w:color w:val="222222"/>
                <w:sz w:val="16"/>
                <w:szCs w:val="16"/>
                <w:shd w:val="clear" w:color="auto" w:fill="FFFFFF"/>
              </w:rPr>
            </w:pPr>
            <w:r w:rsidRPr="00090335">
              <w:rPr>
                <w:b/>
                <w:sz w:val="16"/>
                <w:szCs w:val="16"/>
              </w:rPr>
              <w:t>Relevant standards for design and performance</w:t>
            </w:r>
          </w:p>
        </w:tc>
      </w:tr>
      <w:tr w:rsidR="001B6FC6" w:rsidTr="004572B6">
        <w:trPr>
          <w:trHeight w:val="6531"/>
        </w:trPr>
        <w:tc>
          <w:tcPr>
            <w:tcW w:w="2263" w:type="dxa"/>
          </w:tcPr>
          <w:p w:rsidR="001B6FC6" w:rsidRPr="00090335" w:rsidRDefault="001B6FC6">
            <w:pPr>
              <w:rPr>
                <w:sz w:val="16"/>
                <w:szCs w:val="16"/>
              </w:rPr>
            </w:pPr>
            <w:r w:rsidRPr="00090335">
              <w:rPr>
                <w:sz w:val="16"/>
                <w:szCs w:val="16"/>
              </w:rPr>
              <w:t>Type I, II or IIR (Fluid Resistant Surgical Mask)</w:t>
            </w:r>
            <w:r w:rsidR="006374C9">
              <w:rPr>
                <w:sz w:val="16"/>
                <w:szCs w:val="16"/>
              </w:rPr>
              <w:t xml:space="preserve"> Surgical Masks</w:t>
            </w:r>
            <w:bookmarkStart w:id="0" w:name="_GoBack"/>
            <w:bookmarkEnd w:id="0"/>
          </w:p>
          <w:p w:rsidR="001B6FC6" w:rsidRPr="00090335" w:rsidRDefault="001B6FC6">
            <w:pPr>
              <w:rPr>
                <w:sz w:val="16"/>
                <w:szCs w:val="16"/>
              </w:rPr>
            </w:pPr>
            <w:r w:rsidRPr="00090335">
              <w:rPr>
                <w:noProof/>
                <w:sz w:val="16"/>
                <w:szCs w:val="16"/>
              </w:rPr>
              <w:drawing>
                <wp:inline distT="0" distB="0" distL="0" distR="0" wp14:anchorId="7391CC70" wp14:editId="3B5CDB99">
                  <wp:extent cx="151447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14475" cy="1066800"/>
                          </a:xfrm>
                          <a:prstGeom prst="rect">
                            <a:avLst/>
                          </a:prstGeom>
                        </pic:spPr>
                      </pic:pic>
                    </a:graphicData>
                  </a:graphic>
                </wp:inline>
              </w:drawing>
            </w:r>
          </w:p>
        </w:tc>
        <w:tc>
          <w:tcPr>
            <w:tcW w:w="3995" w:type="dxa"/>
          </w:tcPr>
          <w:p w:rsidR="001B6FC6" w:rsidRPr="00090335" w:rsidRDefault="004328C3" w:rsidP="004328C3">
            <w:pPr>
              <w:jc w:val="both"/>
              <w:rPr>
                <w:rFonts w:cstheme="minorHAnsi"/>
                <w:bCs/>
                <w:color w:val="222222"/>
                <w:sz w:val="16"/>
                <w:szCs w:val="16"/>
                <w:shd w:val="clear" w:color="auto" w:fill="FFFFFF"/>
              </w:rPr>
            </w:pPr>
            <w:r w:rsidRPr="00090335">
              <w:rPr>
                <w:rFonts w:cstheme="minorHAnsi"/>
                <w:bCs/>
                <w:color w:val="222222"/>
                <w:sz w:val="16"/>
                <w:szCs w:val="16"/>
                <w:shd w:val="clear" w:color="auto" w:fill="FFFFFF"/>
              </w:rPr>
              <w:t>•</w:t>
            </w:r>
            <w:r w:rsidR="001B6FC6" w:rsidRPr="00090335">
              <w:rPr>
                <w:rFonts w:cstheme="minorHAnsi"/>
                <w:bCs/>
                <w:color w:val="222222"/>
                <w:sz w:val="16"/>
                <w:szCs w:val="16"/>
                <w:shd w:val="clear" w:color="auto" w:fill="FFFFFF"/>
              </w:rPr>
              <w:t>Must indicate masks type of mask. ‘Type I’ (if it complies with BS EN 14683) or should state ‘not fluid resistant’ as appropriate</w:t>
            </w:r>
          </w:p>
          <w:p w:rsidR="001B6FC6" w:rsidRPr="00090335" w:rsidRDefault="001B6FC6" w:rsidP="004328C3">
            <w:pPr>
              <w:jc w:val="both"/>
              <w:rPr>
                <w:rFonts w:cstheme="minorHAnsi"/>
                <w:bCs/>
                <w:color w:val="222222"/>
                <w:sz w:val="16"/>
                <w:szCs w:val="16"/>
                <w:shd w:val="clear" w:color="auto" w:fill="FFFFFF"/>
              </w:rPr>
            </w:pPr>
          </w:p>
          <w:p w:rsidR="001B6FC6" w:rsidRPr="00090335" w:rsidRDefault="001B6FC6" w:rsidP="004328C3">
            <w:pPr>
              <w:jc w:val="both"/>
              <w:rPr>
                <w:rFonts w:cstheme="minorHAnsi"/>
                <w:bCs/>
                <w:color w:val="222222"/>
                <w:sz w:val="16"/>
                <w:szCs w:val="16"/>
                <w:shd w:val="clear" w:color="auto" w:fill="FFFFFF"/>
              </w:rPr>
            </w:pPr>
            <w:r w:rsidRPr="00090335">
              <w:rPr>
                <w:rFonts w:cstheme="minorHAnsi"/>
                <w:bCs/>
                <w:color w:val="222222"/>
                <w:sz w:val="16"/>
                <w:szCs w:val="16"/>
                <w:shd w:val="clear" w:color="auto" w:fill="FFFFFF"/>
              </w:rPr>
              <w:t>•Must indicate masks type. ‘Type II’ (if it complies with BS EN 14683) or should state ‘not fluid resistant’ as appropriate</w:t>
            </w:r>
          </w:p>
          <w:p w:rsidR="001B6FC6" w:rsidRPr="00090335" w:rsidRDefault="001B6FC6" w:rsidP="004328C3">
            <w:pPr>
              <w:jc w:val="both"/>
              <w:rPr>
                <w:rFonts w:cstheme="minorHAnsi"/>
                <w:bCs/>
                <w:color w:val="222222"/>
                <w:sz w:val="16"/>
                <w:szCs w:val="16"/>
                <w:shd w:val="clear" w:color="auto" w:fill="FFFFFF"/>
              </w:rPr>
            </w:pPr>
          </w:p>
          <w:p w:rsidR="001B6FC6" w:rsidRPr="00090335" w:rsidRDefault="001B6FC6" w:rsidP="004328C3">
            <w:pPr>
              <w:jc w:val="both"/>
              <w:rPr>
                <w:rFonts w:cstheme="minorHAnsi"/>
                <w:bCs/>
                <w:color w:val="222222"/>
                <w:sz w:val="16"/>
                <w:szCs w:val="16"/>
                <w:shd w:val="clear" w:color="auto" w:fill="FFFFFF"/>
              </w:rPr>
            </w:pPr>
            <w:r w:rsidRPr="00090335">
              <w:rPr>
                <w:rFonts w:cstheme="minorHAnsi"/>
                <w:bCs/>
                <w:color w:val="222222"/>
                <w:sz w:val="16"/>
                <w:szCs w:val="16"/>
                <w:shd w:val="clear" w:color="auto" w:fill="FFFFFF"/>
              </w:rPr>
              <w:t>•Must indicate type of mask. ‘Type IIR’ (if complies with BS EN 14683) or should state fluid or splash resistant as appropriate if equivalent test for splash resistance has been carried out</w:t>
            </w:r>
          </w:p>
          <w:p w:rsidR="004328C3" w:rsidRPr="00090335" w:rsidRDefault="004328C3" w:rsidP="004328C3">
            <w:pPr>
              <w:jc w:val="both"/>
              <w:rPr>
                <w:rFonts w:cstheme="minorHAnsi"/>
                <w:bCs/>
                <w:color w:val="222222"/>
                <w:sz w:val="16"/>
                <w:szCs w:val="16"/>
                <w:shd w:val="clear" w:color="auto" w:fill="FFFFFF"/>
              </w:rPr>
            </w:pPr>
          </w:p>
          <w:p w:rsidR="004328C3" w:rsidRPr="00090335" w:rsidRDefault="004328C3" w:rsidP="004328C3">
            <w:pPr>
              <w:jc w:val="both"/>
              <w:rPr>
                <w:rFonts w:cstheme="minorHAnsi"/>
                <w:bCs/>
                <w:color w:val="222222"/>
                <w:sz w:val="16"/>
                <w:szCs w:val="16"/>
                <w:shd w:val="clear" w:color="auto" w:fill="FFFFFF"/>
              </w:rPr>
            </w:pPr>
            <w:r w:rsidRPr="00090335">
              <w:rPr>
                <w:rFonts w:cstheme="minorHAnsi"/>
                <w:bCs/>
                <w:color w:val="222222"/>
                <w:sz w:val="16"/>
                <w:szCs w:val="16"/>
                <w:shd w:val="clear" w:color="auto" w:fill="FFFFFF"/>
              </w:rPr>
              <w:t>Should have an expiry date</w:t>
            </w:r>
          </w:p>
        </w:tc>
        <w:tc>
          <w:tcPr>
            <w:tcW w:w="3492" w:type="dxa"/>
          </w:tcPr>
          <w:p w:rsidR="001B6FC6" w:rsidRPr="00090335" w:rsidRDefault="001B6FC6">
            <w:pPr>
              <w:rPr>
                <w:rFonts w:cstheme="minorHAnsi"/>
                <w:bCs/>
                <w:color w:val="222222"/>
                <w:sz w:val="16"/>
                <w:szCs w:val="16"/>
                <w:shd w:val="clear" w:color="auto" w:fill="FFFFFF"/>
              </w:rPr>
            </w:pPr>
            <w:r w:rsidRPr="00090335">
              <w:rPr>
                <w:rFonts w:cstheme="minorHAnsi"/>
                <w:b/>
                <w:bCs/>
                <w:color w:val="222222"/>
                <w:sz w:val="16"/>
                <w:szCs w:val="16"/>
                <w:shd w:val="clear" w:color="auto" w:fill="FFFFFF"/>
              </w:rPr>
              <w:t>CE</w:t>
            </w:r>
            <w:r w:rsidRPr="00090335">
              <w:rPr>
                <w:rFonts w:cstheme="minorHAnsi"/>
                <w:bCs/>
                <w:color w:val="222222"/>
                <w:sz w:val="16"/>
                <w:szCs w:val="16"/>
                <w:shd w:val="clear" w:color="auto" w:fill="FFFFFF"/>
              </w:rPr>
              <w:t xml:space="preserve"> marking to </w:t>
            </w:r>
            <w:r w:rsidRPr="00090335">
              <w:rPr>
                <w:rFonts w:cstheme="minorHAnsi"/>
                <w:color w:val="222222"/>
                <w:sz w:val="16"/>
                <w:szCs w:val="16"/>
                <w:shd w:val="clear" w:color="auto" w:fill="FFFFFF"/>
              </w:rPr>
              <w:t>ensure </w:t>
            </w:r>
            <w:r w:rsidRPr="00090335">
              <w:rPr>
                <w:rFonts w:cstheme="minorHAnsi"/>
                <w:bCs/>
                <w:color w:val="222222"/>
                <w:sz w:val="16"/>
                <w:szCs w:val="16"/>
                <w:shd w:val="clear" w:color="auto" w:fill="FFFFFF"/>
              </w:rPr>
              <w:t>compliance</w:t>
            </w:r>
            <w:r w:rsidRPr="00090335">
              <w:rPr>
                <w:rFonts w:cstheme="minorHAnsi"/>
                <w:color w:val="222222"/>
                <w:sz w:val="16"/>
                <w:szCs w:val="16"/>
                <w:shd w:val="clear" w:color="auto" w:fill="FFFFFF"/>
              </w:rPr>
              <w:t> with EU health, safety and environmental protection legislation and confirms a product's </w:t>
            </w:r>
            <w:r w:rsidRPr="00090335">
              <w:rPr>
                <w:rFonts w:cstheme="minorHAnsi"/>
                <w:bCs/>
                <w:color w:val="222222"/>
                <w:sz w:val="16"/>
                <w:szCs w:val="16"/>
                <w:shd w:val="clear" w:color="auto" w:fill="FFFFFF"/>
              </w:rPr>
              <w:t>compliance</w:t>
            </w:r>
            <w:r w:rsidRPr="00090335">
              <w:rPr>
                <w:rFonts w:cstheme="minorHAnsi"/>
                <w:color w:val="222222"/>
                <w:sz w:val="16"/>
                <w:szCs w:val="16"/>
                <w:shd w:val="clear" w:color="auto" w:fill="FFFFFF"/>
              </w:rPr>
              <w:t> with relevant requirements.  affixed with CE marking</w:t>
            </w:r>
          </w:p>
          <w:p w:rsidR="001B6FC6" w:rsidRPr="00090335" w:rsidRDefault="001B6FC6">
            <w:pPr>
              <w:rPr>
                <w:sz w:val="16"/>
                <w:szCs w:val="16"/>
              </w:rPr>
            </w:pPr>
            <w:r w:rsidRPr="00090335">
              <w:rPr>
                <w:noProof/>
                <w:sz w:val="16"/>
                <w:szCs w:val="16"/>
              </w:rPr>
              <w:drawing>
                <wp:inline distT="0" distB="0" distL="0" distR="0" wp14:anchorId="7461609C" wp14:editId="56C42D51">
                  <wp:extent cx="756965" cy="540689"/>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72215" cy="551582"/>
                          </a:xfrm>
                          <a:prstGeom prst="rect">
                            <a:avLst/>
                          </a:prstGeom>
                        </pic:spPr>
                      </pic:pic>
                    </a:graphicData>
                  </a:graphic>
                </wp:inline>
              </w:drawing>
            </w:r>
          </w:p>
          <w:p w:rsidR="001B6FC6" w:rsidRPr="00090335" w:rsidRDefault="001B6FC6">
            <w:pPr>
              <w:rPr>
                <w:sz w:val="16"/>
                <w:szCs w:val="16"/>
              </w:rPr>
            </w:pPr>
          </w:p>
          <w:p w:rsidR="001B6FC6" w:rsidRPr="00090335" w:rsidRDefault="001B6FC6">
            <w:pPr>
              <w:rPr>
                <w:rFonts w:cstheme="minorHAnsi"/>
                <w:sz w:val="16"/>
                <w:szCs w:val="16"/>
              </w:rPr>
            </w:pPr>
            <w:r w:rsidRPr="00090335">
              <w:rPr>
                <w:rFonts w:cstheme="minorHAnsi"/>
                <w:sz w:val="16"/>
                <w:szCs w:val="16"/>
              </w:rPr>
              <w:t xml:space="preserve">Or </w:t>
            </w:r>
          </w:p>
          <w:p w:rsidR="004328C3" w:rsidRPr="00090335" w:rsidRDefault="004328C3" w:rsidP="006C58F2">
            <w:pPr>
              <w:pStyle w:val="TableParagraph"/>
              <w:tabs>
                <w:tab w:val="left" w:pos="828"/>
                <w:tab w:val="left" w:pos="829"/>
              </w:tabs>
              <w:spacing w:line="357" w:lineRule="auto"/>
              <w:ind w:right="542"/>
              <w:jc w:val="both"/>
              <w:rPr>
                <w:rFonts w:asciiTheme="minorHAnsi" w:hAnsiTheme="minorHAnsi" w:cstheme="minorHAnsi"/>
                <w:sz w:val="16"/>
                <w:szCs w:val="16"/>
              </w:rPr>
            </w:pPr>
          </w:p>
          <w:p w:rsidR="001B6FC6" w:rsidRPr="00090335" w:rsidRDefault="001B6FC6" w:rsidP="004328C3">
            <w:pPr>
              <w:rPr>
                <w:sz w:val="16"/>
                <w:szCs w:val="16"/>
              </w:rPr>
            </w:pPr>
            <w:r w:rsidRPr="00090335">
              <w:rPr>
                <w:sz w:val="16"/>
                <w:szCs w:val="16"/>
              </w:rPr>
              <w:t>BS EN 14683:2019</w:t>
            </w:r>
          </w:p>
          <w:p w:rsidR="001B6FC6" w:rsidRPr="00090335" w:rsidRDefault="001B6FC6" w:rsidP="004328C3">
            <w:pPr>
              <w:rPr>
                <w:sz w:val="16"/>
                <w:szCs w:val="16"/>
              </w:rPr>
            </w:pPr>
            <w:r w:rsidRPr="00090335">
              <w:rPr>
                <w:sz w:val="16"/>
                <w:szCs w:val="16"/>
              </w:rPr>
              <w:t>Medical face masks. Requirements and test methods</w:t>
            </w:r>
          </w:p>
          <w:p w:rsidR="001B6FC6" w:rsidRPr="00090335" w:rsidRDefault="001B6FC6" w:rsidP="004328C3">
            <w:pPr>
              <w:rPr>
                <w:sz w:val="16"/>
                <w:szCs w:val="16"/>
              </w:rPr>
            </w:pPr>
            <w:r w:rsidRPr="00090335">
              <w:rPr>
                <w:sz w:val="16"/>
                <w:szCs w:val="16"/>
              </w:rPr>
              <w:t>or</w:t>
            </w:r>
          </w:p>
          <w:p w:rsidR="001B6FC6" w:rsidRPr="00090335" w:rsidRDefault="001B6FC6" w:rsidP="004328C3">
            <w:pPr>
              <w:rPr>
                <w:sz w:val="16"/>
                <w:szCs w:val="16"/>
              </w:rPr>
            </w:pPr>
            <w:r w:rsidRPr="00090335">
              <w:rPr>
                <w:sz w:val="16"/>
                <w:szCs w:val="16"/>
              </w:rPr>
              <w:t>ASTM F2100 minimum Level 1</w:t>
            </w:r>
          </w:p>
          <w:p w:rsidR="001B6FC6" w:rsidRPr="00090335" w:rsidRDefault="001B6FC6" w:rsidP="004328C3">
            <w:pPr>
              <w:rPr>
                <w:sz w:val="16"/>
                <w:szCs w:val="16"/>
              </w:rPr>
            </w:pPr>
            <w:r w:rsidRPr="00090335">
              <w:rPr>
                <w:sz w:val="16"/>
                <w:szCs w:val="16"/>
              </w:rPr>
              <w:t>or</w:t>
            </w:r>
          </w:p>
          <w:p w:rsidR="00235E29" w:rsidRPr="00090335" w:rsidRDefault="001B6FC6" w:rsidP="004328C3">
            <w:pPr>
              <w:rPr>
                <w:sz w:val="16"/>
                <w:szCs w:val="16"/>
              </w:rPr>
            </w:pPr>
            <w:r w:rsidRPr="00090335">
              <w:rPr>
                <w:sz w:val="16"/>
                <w:szCs w:val="16"/>
              </w:rPr>
              <w:t>equivalent technical solution</w:t>
            </w:r>
          </w:p>
        </w:tc>
      </w:tr>
      <w:tr w:rsidR="001B6FC6" w:rsidTr="004572B6">
        <w:trPr>
          <w:trHeight w:val="4435"/>
        </w:trPr>
        <w:tc>
          <w:tcPr>
            <w:tcW w:w="2263" w:type="dxa"/>
          </w:tcPr>
          <w:p w:rsidR="001B6FC6" w:rsidRPr="00090335" w:rsidRDefault="004572B6">
            <w:pPr>
              <w:rPr>
                <w:sz w:val="16"/>
                <w:szCs w:val="16"/>
              </w:rPr>
            </w:pPr>
            <w:r w:rsidRPr="00090335">
              <w:rPr>
                <w:sz w:val="16"/>
                <w:szCs w:val="16"/>
              </w:rPr>
              <w:lastRenderedPageBreak/>
              <w:t>Disposable latex gloves</w:t>
            </w:r>
          </w:p>
          <w:p w:rsidR="001B6FC6" w:rsidRPr="00090335" w:rsidRDefault="001B6FC6">
            <w:pPr>
              <w:rPr>
                <w:sz w:val="16"/>
                <w:szCs w:val="16"/>
              </w:rPr>
            </w:pPr>
            <w:r w:rsidRPr="00090335">
              <w:rPr>
                <w:noProof/>
                <w:sz w:val="16"/>
                <w:szCs w:val="16"/>
              </w:rPr>
              <w:drawing>
                <wp:inline distT="0" distB="0" distL="0" distR="0" wp14:anchorId="3F0B64F3" wp14:editId="332CA707">
                  <wp:extent cx="1190625" cy="108023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03286" cy="1091723"/>
                          </a:xfrm>
                          <a:prstGeom prst="rect">
                            <a:avLst/>
                          </a:prstGeom>
                        </pic:spPr>
                      </pic:pic>
                    </a:graphicData>
                  </a:graphic>
                </wp:inline>
              </w:drawing>
            </w:r>
          </w:p>
        </w:tc>
        <w:tc>
          <w:tcPr>
            <w:tcW w:w="3995" w:type="dxa"/>
          </w:tcPr>
          <w:p w:rsidR="001B6FC6" w:rsidRPr="00090335" w:rsidRDefault="004328C3" w:rsidP="004328C3">
            <w:pPr>
              <w:jc w:val="both"/>
              <w:rPr>
                <w:sz w:val="16"/>
                <w:szCs w:val="16"/>
              </w:rPr>
            </w:pPr>
            <w:r w:rsidRPr="00090335">
              <w:rPr>
                <w:sz w:val="16"/>
                <w:szCs w:val="16"/>
              </w:rPr>
              <w:t>•</w:t>
            </w:r>
            <w:r w:rsidR="001B6FC6" w:rsidRPr="00090335">
              <w:rPr>
                <w:sz w:val="16"/>
                <w:szCs w:val="16"/>
              </w:rPr>
              <w:t>Must</w:t>
            </w:r>
            <w:r w:rsidR="001B6FC6" w:rsidRPr="00090335">
              <w:rPr>
                <w:spacing w:val="11"/>
                <w:sz w:val="16"/>
                <w:szCs w:val="16"/>
              </w:rPr>
              <w:t xml:space="preserve"> </w:t>
            </w:r>
            <w:r w:rsidR="001B6FC6" w:rsidRPr="00090335">
              <w:rPr>
                <w:sz w:val="16"/>
                <w:szCs w:val="16"/>
              </w:rPr>
              <w:t>be</w:t>
            </w:r>
            <w:r w:rsidR="001B6FC6" w:rsidRPr="00090335">
              <w:rPr>
                <w:spacing w:val="14"/>
                <w:sz w:val="16"/>
                <w:szCs w:val="16"/>
              </w:rPr>
              <w:t xml:space="preserve"> </w:t>
            </w:r>
            <w:r w:rsidR="001B6FC6" w:rsidRPr="00090335">
              <w:rPr>
                <w:sz w:val="16"/>
                <w:szCs w:val="16"/>
              </w:rPr>
              <w:t>labelled</w:t>
            </w:r>
            <w:r w:rsidR="001B6FC6" w:rsidRPr="00090335">
              <w:rPr>
                <w:spacing w:val="15"/>
                <w:sz w:val="16"/>
                <w:szCs w:val="16"/>
              </w:rPr>
              <w:t xml:space="preserve"> </w:t>
            </w:r>
            <w:r w:rsidR="001B6FC6" w:rsidRPr="00090335">
              <w:rPr>
                <w:sz w:val="16"/>
                <w:szCs w:val="16"/>
              </w:rPr>
              <w:t>STERILE</w:t>
            </w:r>
            <w:r w:rsidR="001B6FC6" w:rsidRPr="00090335">
              <w:rPr>
                <w:spacing w:val="15"/>
                <w:sz w:val="16"/>
                <w:szCs w:val="16"/>
              </w:rPr>
              <w:t xml:space="preserve"> </w:t>
            </w:r>
            <w:r w:rsidR="001B6FC6" w:rsidRPr="00090335">
              <w:rPr>
                <w:sz w:val="16"/>
                <w:szCs w:val="16"/>
              </w:rPr>
              <w:t>along</w:t>
            </w:r>
            <w:r w:rsidR="001B6FC6" w:rsidRPr="00090335">
              <w:rPr>
                <w:spacing w:val="13"/>
                <w:sz w:val="16"/>
                <w:szCs w:val="16"/>
              </w:rPr>
              <w:t xml:space="preserve"> </w:t>
            </w:r>
            <w:r w:rsidR="001B6FC6" w:rsidRPr="00090335">
              <w:rPr>
                <w:sz w:val="16"/>
                <w:szCs w:val="16"/>
              </w:rPr>
              <w:t>with</w:t>
            </w:r>
            <w:r w:rsidR="001B6FC6" w:rsidRPr="00090335">
              <w:rPr>
                <w:spacing w:val="14"/>
                <w:sz w:val="16"/>
                <w:szCs w:val="16"/>
              </w:rPr>
              <w:t xml:space="preserve"> </w:t>
            </w:r>
            <w:r w:rsidR="001B6FC6" w:rsidRPr="00090335">
              <w:rPr>
                <w:sz w:val="16"/>
                <w:szCs w:val="16"/>
              </w:rPr>
              <w:t>the</w:t>
            </w:r>
            <w:r w:rsidR="001B6FC6" w:rsidRPr="00090335">
              <w:rPr>
                <w:spacing w:val="14"/>
                <w:sz w:val="16"/>
                <w:szCs w:val="16"/>
              </w:rPr>
              <w:t xml:space="preserve"> </w:t>
            </w:r>
            <w:r w:rsidR="001B6FC6" w:rsidRPr="00090335">
              <w:rPr>
                <w:sz w:val="16"/>
                <w:szCs w:val="16"/>
              </w:rPr>
              <w:t>method</w:t>
            </w:r>
            <w:r w:rsidR="001B6FC6" w:rsidRPr="00090335">
              <w:rPr>
                <w:spacing w:val="14"/>
                <w:sz w:val="16"/>
                <w:szCs w:val="16"/>
              </w:rPr>
              <w:t xml:space="preserve"> </w:t>
            </w:r>
            <w:r w:rsidR="001B6FC6" w:rsidRPr="00090335">
              <w:rPr>
                <w:sz w:val="16"/>
                <w:szCs w:val="16"/>
              </w:rPr>
              <w:t>of</w:t>
            </w:r>
            <w:r w:rsidRPr="00090335">
              <w:rPr>
                <w:sz w:val="16"/>
                <w:szCs w:val="16"/>
              </w:rPr>
              <w:t xml:space="preserve"> </w:t>
            </w:r>
            <w:r w:rsidR="001B6FC6" w:rsidRPr="00090335">
              <w:rPr>
                <w:sz w:val="16"/>
                <w:szCs w:val="16"/>
              </w:rPr>
              <w:t>sterilisation</w:t>
            </w:r>
          </w:p>
          <w:p w:rsidR="001B6FC6" w:rsidRPr="00090335" w:rsidRDefault="001B6FC6" w:rsidP="004328C3">
            <w:pPr>
              <w:jc w:val="both"/>
              <w:rPr>
                <w:sz w:val="16"/>
                <w:szCs w:val="16"/>
              </w:rPr>
            </w:pPr>
            <w:r w:rsidRPr="00090335">
              <w:rPr>
                <w:sz w:val="16"/>
                <w:szCs w:val="16"/>
              </w:rPr>
              <w:t>Gloves containing latex must be labelled with the symbol for latex</w:t>
            </w:r>
            <w:r w:rsidRPr="00090335">
              <w:rPr>
                <w:spacing w:val="13"/>
                <w:sz w:val="16"/>
                <w:szCs w:val="16"/>
              </w:rPr>
              <w:t xml:space="preserve"> </w:t>
            </w:r>
            <w:r w:rsidRPr="00090335">
              <w:rPr>
                <w:sz w:val="16"/>
                <w:szCs w:val="16"/>
              </w:rPr>
              <w:t>on</w:t>
            </w:r>
            <w:r w:rsidRPr="00090335">
              <w:rPr>
                <w:spacing w:val="12"/>
                <w:sz w:val="16"/>
                <w:szCs w:val="16"/>
              </w:rPr>
              <w:t xml:space="preserve"> </w:t>
            </w:r>
            <w:r w:rsidRPr="00090335">
              <w:rPr>
                <w:sz w:val="16"/>
                <w:szCs w:val="16"/>
              </w:rPr>
              <w:t>at</w:t>
            </w:r>
            <w:r w:rsidRPr="00090335">
              <w:rPr>
                <w:spacing w:val="11"/>
                <w:sz w:val="16"/>
                <w:szCs w:val="16"/>
              </w:rPr>
              <w:t xml:space="preserve"> </w:t>
            </w:r>
            <w:r w:rsidRPr="00090335">
              <w:rPr>
                <w:sz w:val="16"/>
                <w:szCs w:val="16"/>
              </w:rPr>
              <w:t>least</w:t>
            </w:r>
            <w:r w:rsidRPr="00090335">
              <w:rPr>
                <w:spacing w:val="11"/>
                <w:sz w:val="16"/>
                <w:szCs w:val="16"/>
              </w:rPr>
              <w:t xml:space="preserve"> </w:t>
            </w:r>
            <w:r w:rsidRPr="00090335">
              <w:rPr>
                <w:sz w:val="16"/>
                <w:szCs w:val="16"/>
              </w:rPr>
              <w:t>the</w:t>
            </w:r>
            <w:r w:rsidRPr="00090335">
              <w:rPr>
                <w:spacing w:val="13"/>
                <w:sz w:val="16"/>
                <w:szCs w:val="16"/>
              </w:rPr>
              <w:t xml:space="preserve"> </w:t>
            </w:r>
            <w:r w:rsidRPr="00090335">
              <w:rPr>
                <w:sz w:val="16"/>
                <w:szCs w:val="16"/>
              </w:rPr>
              <w:t>smallest</w:t>
            </w:r>
            <w:r w:rsidRPr="00090335">
              <w:rPr>
                <w:spacing w:val="11"/>
                <w:sz w:val="16"/>
                <w:szCs w:val="16"/>
              </w:rPr>
              <w:t xml:space="preserve"> </w:t>
            </w:r>
            <w:r w:rsidRPr="00090335">
              <w:rPr>
                <w:sz w:val="16"/>
                <w:szCs w:val="16"/>
              </w:rPr>
              <w:t>packaging</w:t>
            </w:r>
            <w:r w:rsidRPr="00090335">
              <w:rPr>
                <w:spacing w:val="13"/>
                <w:sz w:val="16"/>
                <w:szCs w:val="16"/>
              </w:rPr>
              <w:t xml:space="preserve"> </w:t>
            </w:r>
            <w:r w:rsidRPr="00090335">
              <w:rPr>
                <w:sz w:val="16"/>
                <w:szCs w:val="16"/>
              </w:rPr>
              <w:t>unit</w:t>
            </w:r>
            <w:r w:rsidRPr="00090335">
              <w:rPr>
                <w:spacing w:val="10"/>
                <w:sz w:val="16"/>
                <w:szCs w:val="16"/>
              </w:rPr>
              <w:t xml:space="preserve"> </w:t>
            </w:r>
            <w:r w:rsidRPr="00090335">
              <w:rPr>
                <w:sz w:val="16"/>
                <w:szCs w:val="16"/>
              </w:rPr>
              <w:t>and</w:t>
            </w:r>
            <w:r w:rsidRPr="00090335">
              <w:rPr>
                <w:spacing w:val="13"/>
                <w:sz w:val="16"/>
                <w:szCs w:val="16"/>
              </w:rPr>
              <w:t xml:space="preserve"> </w:t>
            </w:r>
            <w:r w:rsidRPr="00090335">
              <w:rPr>
                <w:sz w:val="16"/>
                <w:szCs w:val="16"/>
              </w:rPr>
              <w:t>caution</w:t>
            </w:r>
            <w:r w:rsidR="004328C3" w:rsidRPr="00090335">
              <w:rPr>
                <w:sz w:val="16"/>
                <w:szCs w:val="16"/>
              </w:rPr>
              <w:t xml:space="preserve"> </w:t>
            </w:r>
            <w:r w:rsidRPr="00090335">
              <w:rPr>
                <w:sz w:val="16"/>
                <w:szCs w:val="16"/>
              </w:rPr>
              <w:t>placed in the instructions for use against its use where there is a known allergy to latex.</w:t>
            </w:r>
          </w:p>
          <w:p w:rsidR="00235E29" w:rsidRPr="00090335" w:rsidRDefault="00235E29" w:rsidP="004328C3">
            <w:pPr>
              <w:jc w:val="both"/>
              <w:rPr>
                <w:sz w:val="16"/>
                <w:szCs w:val="16"/>
              </w:rPr>
            </w:pPr>
          </w:p>
          <w:p w:rsidR="001B6FC6" w:rsidRPr="00090335" w:rsidRDefault="004328C3" w:rsidP="004328C3">
            <w:pPr>
              <w:jc w:val="both"/>
              <w:rPr>
                <w:sz w:val="16"/>
                <w:szCs w:val="16"/>
              </w:rPr>
            </w:pPr>
            <w:r w:rsidRPr="00090335">
              <w:rPr>
                <w:sz w:val="16"/>
                <w:szCs w:val="16"/>
              </w:rPr>
              <w:t>•</w:t>
            </w:r>
            <w:r w:rsidR="001B6FC6" w:rsidRPr="00090335">
              <w:rPr>
                <w:sz w:val="16"/>
                <w:szCs w:val="16"/>
              </w:rPr>
              <w:t>Must have an expiry</w:t>
            </w:r>
            <w:r w:rsidR="001B6FC6" w:rsidRPr="00090335">
              <w:rPr>
                <w:spacing w:val="58"/>
                <w:sz w:val="16"/>
                <w:szCs w:val="16"/>
              </w:rPr>
              <w:t xml:space="preserve"> </w:t>
            </w:r>
            <w:r w:rsidR="001B6FC6" w:rsidRPr="00090335">
              <w:rPr>
                <w:sz w:val="16"/>
                <w:szCs w:val="16"/>
              </w:rPr>
              <w:t>date</w:t>
            </w:r>
          </w:p>
          <w:p w:rsidR="00235E29" w:rsidRPr="00090335" w:rsidRDefault="00235E29" w:rsidP="004328C3">
            <w:pPr>
              <w:jc w:val="both"/>
              <w:rPr>
                <w:sz w:val="16"/>
                <w:szCs w:val="16"/>
              </w:rPr>
            </w:pPr>
          </w:p>
          <w:p w:rsidR="001B6FC6" w:rsidRPr="00090335" w:rsidRDefault="004328C3" w:rsidP="004328C3">
            <w:pPr>
              <w:jc w:val="both"/>
              <w:rPr>
                <w:sz w:val="16"/>
                <w:szCs w:val="16"/>
              </w:rPr>
            </w:pPr>
            <w:r w:rsidRPr="00090335">
              <w:rPr>
                <w:rFonts w:cstheme="minorHAnsi"/>
                <w:sz w:val="16"/>
                <w:szCs w:val="16"/>
              </w:rPr>
              <w:t>•</w:t>
            </w:r>
            <w:r w:rsidR="001B6FC6" w:rsidRPr="00090335">
              <w:rPr>
                <w:sz w:val="16"/>
                <w:szCs w:val="16"/>
              </w:rPr>
              <w:t>Must specify the</w:t>
            </w:r>
            <w:r w:rsidR="001B6FC6" w:rsidRPr="00090335">
              <w:rPr>
                <w:spacing w:val="45"/>
                <w:sz w:val="16"/>
                <w:szCs w:val="16"/>
              </w:rPr>
              <w:t xml:space="preserve"> </w:t>
            </w:r>
            <w:r w:rsidR="001B6FC6" w:rsidRPr="00090335">
              <w:rPr>
                <w:sz w:val="16"/>
                <w:szCs w:val="16"/>
              </w:rPr>
              <w:t>size</w:t>
            </w:r>
          </w:p>
        </w:tc>
        <w:tc>
          <w:tcPr>
            <w:tcW w:w="3492" w:type="dxa"/>
          </w:tcPr>
          <w:p w:rsidR="001B6FC6" w:rsidRPr="00090335" w:rsidRDefault="001B6FC6" w:rsidP="004328C3">
            <w:pPr>
              <w:jc w:val="both"/>
              <w:rPr>
                <w:sz w:val="16"/>
                <w:szCs w:val="16"/>
              </w:rPr>
            </w:pPr>
            <w:r w:rsidRPr="00090335">
              <w:rPr>
                <w:sz w:val="16"/>
                <w:szCs w:val="16"/>
              </w:rPr>
              <w:t>BS EN 455-1:2000</w:t>
            </w:r>
          </w:p>
          <w:p w:rsidR="001B6FC6" w:rsidRPr="00090335" w:rsidRDefault="001B6FC6" w:rsidP="004328C3">
            <w:pPr>
              <w:jc w:val="both"/>
              <w:rPr>
                <w:sz w:val="16"/>
                <w:szCs w:val="16"/>
              </w:rPr>
            </w:pPr>
            <w:r w:rsidRPr="00090335">
              <w:rPr>
                <w:sz w:val="16"/>
                <w:szCs w:val="16"/>
              </w:rPr>
              <w:t>Requirements and testing for freedom from</w:t>
            </w:r>
            <w:r w:rsidRPr="00090335">
              <w:rPr>
                <w:spacing w:val="56"/>
                <w:sz w:val="16"/>
                <w:szCs w:val="16"/>
              </w:rPr>
              <w:t xml:space="preserve"> </w:t>
            </w:r>
            <w:r w:rsidRPr="00090335">
              <w:rPr>
                <w:sz w:val="16"/>
                <w:szCs w:val="16"/>
              </w:rPr>
              <w:t>holes.</w:t>
            </w:r>
          </w:p>
          <w:p w:rsidR="001B6FC6" w:rsidRPr="00090335" w:rsidRDefault="001B6FC6" w:rsidP="004328C3">
            <w:pPr>
              <w:jc w:val="both"/>
              <w:rPr>
                <w:sz w:val="16"/>
                <w:szCs w:val="16"/>
              </w:rPr>
            </w:pPr>
          </w:p>
          <w:p w:rsidR="001B6FC6" w:rsidRPr="00090335" w:rsidRDefault="001B6FC6" w:rsidP="004328C3">
            <w:pPr>
              <w:jc w:val="both"/>
              <w:rPr>
                <w:sz w:val="16"/>
                <w:szCs w:val="16"/>
              </w:rPr>
            </w:pPr>
            <w:r w:rsidRPr="00090335">
              <w:rPr>
                <w:sz w:val="16"/>
                <w:szCs w:val="16"/>
                <w:u w:val="single"/>
              </w:rPr>
              <w:t>or</w:t>
            </w:r>
          </w:p>
          <w:p w:rsidR="001B6FC6" w:rsidRPr="00090335" w:rsidRDefault="001B6FC6" w:rsidP="004328C3">
            <w:pPr>
              <w:jc w:val="both"/>
              <w:rPr>
                <w:sz w:val="16"/>
                <w:szCs w:val="16"/>
              </w:rPr>
            </w:pPr>
          </w:p>
          <w:p w:rsidR="001B6FC6" w:rsidRPr="00090335" w:rsidRDefault="001B6FC6" w:rsidP="004328C3">
            <w:pPr>
              <w:jc w:val="both"/>
              <w:rPr>
                <w:sz w:val="16"/>
                <w:szCs w:val="16"/>
              </w:rPr>
            </w:pPr>
            <w:r w:rsidRPr="00090335">
              <w:rPr>
                <w:sz w:val="16"/>
                <w:szCs w:val="16"/>
              </w:rPr>
              <w:t>BS EN ISO 374-2</w:t>
            </w:r>
          </w:p>
          <w:p w:rsidR="001B6FC6" w:rsidRPr="00090335" w:rsidRDefault="001B6FC6" w:rsidP="004328C3">
            <w:pPr>
              <w:jc w:val="both"/>
              <w:rPr>
                <w:sz w:val="16"/>
                <w:szCs w:val="16"/>
              </w:rPr>
            </w:pPr>
            <w:r w:rsidRPr="00090335">
              <w:rPr>
                <w:sz w:val="16"/>
                <w:szCs w:val="16"/>
              </w:rPr>
              <w:t>Protective gloves against dangerous chemicals</w:t>
            </w:r>
            <w:r w:rsidRPr="00090335">
              <w:rPr>
                <w:spacing w:val="-42"/>
                <w:sz w:val="16"/>
                <w:szCs w:val="16"/>
              </w:rPr>
              <w:t xml:space="preserve"> </w:t>
            </w:r>
            <w:r w:rsidRPr="00090335">
              <w:rPr>
                <w:sz w:val="16"/>
                <w:szCs w:val="16"/>
              </w:rPr>
              <w:t>and micro-organisms.</w:t>
            </w:r>
          </w:p>
          <w:p w:rsidR="001B6FC6" w:rsidRPr="00090335" w:rsidRDefault="001B6FC6" w:rsidP="004328C3">
            <w:pPr>
              <w:rPr>
                <w:sz w:val="16"/>
                <w:szCs w:val="16"/>
              </w:rPr>
            </w:pPr>
            <w:r w:rsidRPr="00090335">
              <w:rPr>
                <w:w w:val="105"/>
                <w:sz w:val="16"/>
                <w:szCs w:val="16"/>
              </w:rPr>
              <w:t xml:space="preserve">Determination of </w:t>
            </w:r>
            <w:r w:rsidRPr="00090335">
              <w:rPr>
                <w:sz w:val="16"/>
                <w:szCs w:val="16"/>
              </w:rPr>
              <w:t>resistance to penetration.</w:t>
            </w:r>
          </w:p>
          <w:p w:rsidR="001B6FC6" w:rsidRPr="00090335" w:rsidRDefault="001B6FC6" w:rsidP="004328C3">
            <w:pPr>
              <w:rPr>
                <w:sz w:val="16"/>
                <w:szCs w:val="16"/>
              </w:rPr>
            </w:pPr>
          </w:p>
          <w:p w:rsidR="001B6FC6" w:rsidRPr="00090335" w:rsidRDefault="001B6FC6" w:rsidP="004328C3">
            <w:pPr>
              <w:rPr>
                <w:sz w:val="16"/>
                <w:szCs w:val="16"/>
              </w:rPr>
            </w:pPr>
            <w:r w:rsidRPr="00090335">
              <w:rPr>
                <w:sz w:val="16"/>
                <w:szCs w:val="16"/>
              </w:rPr>
              <w:t>BS EN 455-2:2015</w:t>
            </w:r>
          </w:p>
          <w:p w:rsidR="001B6FC6" w:rsidRPr="00090335" w:rsidRDefault="001B6FC6" w:rsidP="006C7293">
            <w:pPr>
              <w:rPr>
                <w:sz w:val="16"/>
                <w:szCs w:val="16"/>
              </w:rPr>
            </w:pPr>
            <w:r w:rsidRPr="00090335">
              <w:rPr>
                <w:sz w:val="16"/>
                <w:szCs w:val="16"/>
              </w:rPr>
              <w:t>Requirements and testing for physical properties.</w:t>
            </w:r>
          </w:p>
        </w:tc>
      </w:tr>
      <w:tr w:rsidR="001B6FC6" w:rsidTr="004572B6">
        <w:trPr>
          <w:trHeight w:val="2208"/>
        </w:trPr>
        <w:tc>
          <w:tcPr>
            <w:tcW w:w="2263" w:type="dxa"/>
          </w:tcPr>
          <w:p w:rsidR="001B6FC6" w:rsidRPr="00090335" w:rsidRDefault="004572B6">
            <w:pPr>
              <w:rPr>
                <w:sz w:val="16"/>
                <w:szCs w:val="16"/>
              </w:rPr>
            </w:pPr>
            <w:r w:rsidRPr="00090335">
              <w:rPr>
                <w:sz w:val="16"/>
                <w:szCs w:val="16"/>
              </w:rPr>
              <w:t>Disposable Apron</w:t>
            </w:r>
          </w:p>
          <w:p w:rsidR="001B6FC6" w:rsidRPr="00090335" w:rsidRDefault="001B6FC6">
            <w:pPr>
              <w:rPr>
                <w:sz w:val="16"/>
                <w:szCs w:val="16"/>
              </w:rPr>
            </w:pPr>
            <w:r w:rsidRPr="00090335">
              <w:rPr>
                <w:noProof/>
                <w:sz w:val="16"/>
                <w:szCs w:val="16"/>
              </w:rPr>
              <w:drawing>
                <wp:inline distT="0" distB="0" distL="0" distR="0" wp14:anchorId="53108ED5" wp14:editId="3D4472AC">
                  <wp:extent cx="1085850" cy="1085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85850" cy="1085850"/>
                          </a:xfrm>
                          <a:prstGeom prst="rect">
                            <a:avLst/>
                          </a:prstGeom>
                        </pic:spPr>
                      </pic:pic>
                    </a:graphicData>
                  </a:graphic>
                </wp:inline>
              </w:drawing>
            </w:r>
          </w:p>
          <w:p w:rsidR="001B6FC6" w:rsidRPr="00090335" w:rsidRDefault="001B6FC6">
            <w:pPr>
              <w:rPr>
                <w:sz w:val="16"/>
                <w:szCs w:val="16"/>
              </w:rPr>
            </w:pPr>
          </w:p>
          <w:p w:rsidR="001B6FC6" w:rsidRPr="00090335" w:rsidRDefault="001B6FC6">
            <w:pPr>
              <w:rPr>
                <w:sz w:val="16"/>
                <w:szCs w:val="16"/>
              </w:rPr>
            </w:pPr>
          </w:p>
          <w:p w:rsidR="001B6FC6" w:rsidRPr="00090335" w:rsidRDefault="001B6FC6">
            <w:pPr>
              <w:rPr>
                <w:sz w:val="16"/>
                <w:szCs w:val="16"/>
              </w:rPr>
            </w:pPr>
          </w:p>
        </w:tc>
        <w:tc>
          <w:tcPr>
            <w:tcW w:w="3995" w:type="dxa"/>
          </w:tcPr>
          <w:p w:rsidR="001B6FC6" w:rsidRPr="00090335" w:rsidRDefault="0048314C">
            <w:pPr>
              <w:rPr>
                <w:sz w:val="16"/>
                <w:szCs w:val="16"/>
              </w:rPr>
            </w:pPr>
            <w:r w:rsidRPr="00090335">
              <w:rPr>
                <w:sz w:val="16"/>
                <w:szCs w:val="16"/>
              </w:rPr>
              <w:t>Latex-free, with halter neck and waist ties</w:t>
            </w:r>
          </w:p>
        </w:tc>
        <w:tc>
          <w:tcPr>
            <w:tcW w:w="3492" w:type="dxa"/>
          </w:tcPr>
          <w:p w:rsidR="00235E29" w:rsidRPr="00090335" w:rsidRDefault="004328C3">
            <w:pPr>
              <w:rPr>
                <w:sz w:val="16"/>
                <w:szCs w:val="16"/>
              </w:rPr>
            </w:pPr>
            <w:r w:rsidRPr="00090335">
              <w:rPr>
                <w:sz w:val="16"/>
                <w:szCs w:val="16"/>
              </w:rPr>
              <w:t>Apron should be manufactured in accordance with European PPE Directive 89/686/EEC.</w:t>
            </w:r>
          </w:p>
          <w:p w:rsidR="007E6C3A" w:rsidRPr="00090335" w:rsidRDefault="007E6C3A">
            <w:pPr>
              <w:rPr>
                <w:sz w:val="16"/>
                <w:szCs w:val="16"/>
              </w:rPr>
            </w:pPr>
          </w:p>
          <w:p w:rsidR="007E6C3A" w:rsidRPr="00090335" w:rsidRDefault="007E6C3A">
            <w:pPr>
              <w:rPr>
                <w:sz w:val="16"/>
                <w:szCs w:val="16"/>
              </w:rPr>
            </w:pPr>
            <w:r w:rsidRPr="00090335">
              <w:rPr>
                <w:sz w:val="16"/>
                <w:szCs w:val="16"/>
              </w:rPr>
              <w:t>and</w:t>
            </w:r>
          </w:p>
          <w:p w:rsidR="0048314C" w:rsidRPr="00090335" w:rsidRDefault="0048314C">
            <w:pPr>
              <w:rPr>
                <w:sz w:val="16"/>
                <w:szCs w:val="16"/>
              </w:rPr>
            </w:pPr>
          </w:p>
          <w:p w:rsidR="0048314C" w:rsidRPr="00090335" w:rsidRDefault="0048314C" w:rsidP="0048314C">
            <w:pPr>
              <w:rPr>
                <w:sz w:val="16"/>
                <w:szCs w:val="16"/>
              </w:rPr>
            </w:pPr>
            <w:r w:rsidRPr="00090335">
              <w:rPr>
                <w:sz w:val="16"/>
                <w:szCs w:val="16"/>
              </w:rPr>
              <w:t>Partial body</w:t>
            </w:r>
            <w:r w:rsidR="007E6C3A" w:rsidRPr="00090335">
              <w:rPr>
                <w:sz w:val="16"/>
                <w:szCs w:val="16"/>
              </w:rPr>
              <w:t xml:space="preserve"> garments (e.g. gowns, aprons</w:t>
            </w:r>
            <w:r w:rsidRPr="00090335">
              <w:rPr>
                <w:sz w:val="16"/>
                <w:szCs w:val="16"/>
              </w:rPr>
              <w:t xml:space="preserve">, etc.) </w:t>
            </w:r>
            <w:proofErr w:type="gramStart"/>
            <w:r w:rsidRPr="00090335">
              <w:rPr>
                <w:sz w:val="16"/>
                <w:szCs w:val="16"/>
              </w:rPr>
              <w:t>has to</w:t>
            </w:r>
            <w:proofErr w:type="gramEnd"/>
            <w:r w:rsidRPr="00090335">
              <w:rPr>
                <w:sz w:val="16"/>
                <w:szCs w:val="16"/>
              </w:rPr>
              <w:t xml:space="preserve"> comply with all of the applicable requirements of EN 14605 or EN 13034</w:t>
            </w:r>
          </w:p>
          <w:p w:rsidR="00836ADC" w:rsidRPr="00090335" w:rsidRDefault="00836ADC" w:rsidP="0048314C">
            <w:pPr>
              <w:rPr>
                <w:sz w:val="16"/>
                <w:szCs w:val="16"/>
              </w:rPr>
            </w:pPr>
          </w:p>
          <w:p w:rsidR="00836ADC" w:rsidRPr="00090335" w:rsidRDefault="00836ADC" w:rsidP="0048314C">
            <w:pPr>
              <w:rPr>
                <w:sz w:val="16"/>
                <w:szCs w:val="16"/>
              </w:rPr>
            </w:pPr>
            <w:r w:rsidRPr="00090335">
              <w:rPr>
                <w:sz w:val="16"/>
                <w:szCs w:val="16"/>
              </w:rPr>
              <w:t xml:space="preserve">Or </w:t>
            </w:r>
          </w:p>
          <w:p w:rsidR="00836ADC" w:rsidRPr="00090335" w:rsidRDefault="00836ADC" w:rsidP="0048314C">
            <w:pPr>
              <w:rPr>
                <w:sz w:val="16"/>
                <w:szCs w:val="16"/>
              </w:rPr>
            </w:pPr>
            <w:r w:rsidRPr="00090335">
              <w:rPr>
                <w:sz w:val="16"/>
                <w:szCs w:val="16"/>
              </w:rPr>
              <w:t>CE Marked</w:t>
            </w:r>
          </w:p>
        </w:tc>
      </w:tr>
      <w:tr w:rsidR="001B6FC6" w:rsidTr="004572B6">
        <w:trPr>
          <w:trHeight w:val="2436"/>
        </w:trPr>
        <w:tc>
          <w:tcPr>
            <w:tcW w:w="2263" w:type="dxa"/>
          </w:tcPr>
          <w:p w:rsidR="001B6FC6" w:rsidRPr="00090335" w:rsidRDefault="004572B6">
            <w:pPr>
              <w:rPr>
                <w:sz w:val="16"/>
                <w:szCs w:val="16"/>
              </w:rPr>
            </w:pPr>
            <w:r w:rsidRPr="00090335">
              <w:rPr>
                <w:sz w:val="16"/>
                <w:szCs w:val="16"/>
              </w:rPr>
              <w:t>Eye protection</w:t>
            </w:r>
          </w:p>
          <w:p w:rsidR="001B6FC6" w:rsidRPr="00090335" w:rsidRDefault="001B6FC6">
            <w:pPr>
              <w:rPr>
                <w:sz w:val="16"/>
                <w:szCs w:val="16"/>
              </w:rPr>
            </w:pPr>
            <w:r w:rsidRPr="00090335">
              <w:rPr>
                <w:noProof/>
                <w:sz w:val="16"/>
                <w:szCs w:val="16"/>
              </w:rPr>
              <w:drawing>
                <wp:inline distT="0" distB="0" distL="0" distR="0" wp14:anchorId="05EFFC8A" wp14:editId="62B7FB9E">
                  <wp:extent cx="91440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14400" cy="914400"/>
                          </a:xfrm>
                          <a:prstGeom prst="rect">
                            <a:avLst/>
                          </a:prstGeom>
                        </pic:spPr>
                      </pic:pic>
                    </a:graphicData>
                  </a:graphic>
                </wp:inline>
              </w:drawing>
            </w:r>
          </w:p>
          <w:p w:rsidR="001B6FC6" w:rsidRPr="00090335" w:rsidRDefault="001B6FC6">
            <w:pPr>
              <w:rPr>
                <w:sz w:val="16"/>
                <w:szCs w:val="16"/>
              </w:rPr>
            </w:pPr>
          </w:p>
          <w:p w:rsidR="001B6FC6" w:rsidRPr="00090335" w:rsidRDefault="001B6FC6">
            <w:pPr>
              <w:rPr>
                <w:sz w:val="16"/>
                <w:szCs w:val="16"/>
              </w:rPr>
            </w:pPr>
          </w:p>
          <w:p w:rsidR="001B6FC6" w:rsidRPr="00090335" w:rsidRDefault="001B6FC6">
            <w:pPr>
              <w:rPr>
                <w:sz w:val="16"/>
                <w:szCs w:val="16"/>
              </w:rPr>
            </w:pPr>
          </w:p>
        </w:tc>
        <w:tc>
          <w:tcPr>
            <w:tcW w:w="3995" w:type="dxa"/>
          </w:tcPr>
          <w:p w:rsidR="001B6FC6" w:rsidRPr="00090335" w:rsidRDefault="001B6FC6" w:rsidP="004328C3">
            <w:pPr>
              <w:jc w:val="both"/>
              <w:rPr>
                <w:sz w:val="16"/>
                <w:szCs w:val="16"/>
              </w:rPr>
            </w:pPr>
            <w:r w:rsidRPr="00090335">
              <w:rPr>
                <w:sz w:val="16"/>
                <w:szCs w:val="16"/>
              </w:rPr>
              <w:t>Eye Shields/safety glasses are devices for protecting the eyes against exposure to liquid droplets. All safety glasses must comply with the following:</w:t>
            </w:r>
          </w:p>
          <w:p w:rsidR="001B6FC6" w:rsidRPr="00090335" w:rsidRDefault="00354B58" w:rsidP="004328C3">
            <w:pPr>
              <w:jc w:val="both"/>
              <w:rPr>
                <w:sz w:val="16"/>
                <w:szCs w:val="16"/>
              </w:rPr>
            </w:pPr>
            <w:r w:rsidRPr="00090335">
              <w:rPr>
                <w:rFonts w:cstheme="minorHAnsi"/>
                <w:sz w:val="16"/>
                <w:szCs w:val="16"/>
              </w:rPr>
              <w:t>•</w:t>
            </w:r>
            <w:r w:rsidR="001B6FC6" w:rsidRPr="00090335">
              <w:rPr>
                <w:sz w:val="16"/>
                <w:szCs w:val="16"/>
              </w:rPr>
              <w:t>Must be optically</w:t>
            </w:r>
            <w:r w:rsidR="001B6FC6" w:rsidRPr="00090335">
              <w:rPr>
                <w:spacing w:val="43"/>
                <w:sz w:val="16"/>
                <w:szCs w:val="16"/>
              </w:rPr>
              <w:t xml:space="preserve"> </w:t>
            </w:r>
            <w:r w:rsidR="001B6FC6" w:rsidRPr="00090335">
              <w:rPr>
                <w:sz w:val="16"/>
                <w:szCs w:val="16"/>
              </w:rPr>
              <w:t>clear.</w:t>
            </w:r>
          </w:p>
          <w:p w:rsidR="00354B58" w:rsidRPr="00090335" w:rsidRDefault="00354B58" w:rsidP="00354B58">
            <w:pPr>
              <w:jc w:val="both"/>
              <w:rPr>
                <w:sz w:val="16"/>
                <w:szCs w:val="16"/>
              </w:rPr>
            </w:pPr>
            <w:r w:rsidRPr="00090335">
              <w:rPr>
                <w:rFonts w:cstheme="minorHAnsi"/>
                <w:sz w:val="16"/>
                <w:szCs w:val="16"/>
              </w:rPr>
              <w:t>•</w:t>
            </w:r>
            <w:r w:rsidRPr="00090335">
              <w:rPr>
                <w:sz w:val="16"/>
                <w:szCs w:val="16"/>
              </w:rPr>
              <w:t>Should be resistant to fogging.</w:t>
            </w:r>
          </w:p>
          <w:p w:rsidR="00354B58" w:rsidRPr="00090335" w:rsidRDefault="00354B58" w:rsidP="00354B58">
            <w:pPr>
              <w:jc w:val="both"/>
              <w:rPr>
                <w:sz w:val="16"/>
                <w:szCs w:val="16"/>
              </w:rPr>
            </w:pPr>
            <w:r w:rsidRPr="00090335">
              <w:rPr>
                <w:rFonts w:cstheme="minorHAnsi"/>
                <w:sz w:val="16"/>
                <w:szCs w:val="16"/>
              </w:rPr>
              <w:t>•</w:t>
            </w:r>
            <w:r w:rsidRPr="00090335">
              <w:rPr>
                <w:sz w:val="16"/>
                <w:szCs w:val="16"/>
              </w:rPr>
              <w:t>Must be resistant to droplets and splashes.</w:t>
            </w:r>
          </w:p>
          <w:p w:rsidR="00354B58" w:rsidRPr="00090335" w:rsidRDefault="00354B58" w:rsidP="00354B58">
            <w:pPr>
              <w:jc w:val="both"/>
              <w:rPr>
                <w:sz w:val="16"/>
                <w:szCs w:val="16"/>
              </w:rPr>
            </w:pPr>
          </w:p>
          <w:p w:rsidR="00354B58" w:rsidRPr="00090335" w:rsidRDefault="00354B58" w:rsidP="00354B58">
            <w:pPr>
              <w:jc w:val="both"/>
              <w:rPr>
                <w:sz w:val="16"/>
                <w:szCs w:val="16"/>
              </w:rPr>
            </w:pPr>
            <w:r w:rsidRPr="00090335">
              <w:rPr>
                <w:sz w:val="16"/>
                <w:szCs w:val="16"/>
              </w:rPr>
              <w:t>Marking and Packaging Requirements: as specified in BS EN 166:2002</w:t>
            </w:r>
          </w:p>
          <w:p w:rsidR="00354B58" w:rsidRPr="00090335" w:rsidRDefault="00354B58" w:rsidP="00354B58">
            <w:pPr>
              <w:jc w:val="both"/>
              <w:rPr>
                <w:sz w:val="16"/>
                <w:szCs w:val="16"/>
              </w:rPr>
            </w:pPr>
          </w:p>
          <w:p w:rsidR="00354B58" w:rsidRPr="00090335" w:rsidRDefault="00354B58" w:rsidP="00354B58">
            <w:pPr>
              <w:jc w:val="both"/>
              <w:rPr>
                <w:sz w:val="16"/>
                <w:szCs w:val="16"/>
              </w:rPr>
            </w:pPr>
            <w:r w:rsidRPr="00090335">
              <w:rPr>
                <w:sz w:val="16"/>
                <w:szCs w:val="16"/>
              </w:rPr>
              <w:t>Manufacturer’s Instructions and Information to be</w:t>
            </w:r>
          </w:p>
          <w:p w:rsidR="00354B58" w:rsidRPr="00090335" w:rsidRDefault="00354B58" w:rsidP="00354B58">
            <w:pPr>
              <w:jc w:val="both"/>
              <w:rPr>
                <w:sz w:val="16"/>
                <w:szCs w:val="16"/>
              </w:rPr>
            </w:pPr>
            <w:r w:rsidRPr="00090335">
              <w:rPr>
                <w:sz w:val="16"/>
                <w:szCs w:val="16"/>
              </w:rPr>
              <w:t>provided: as appropriate and as specified in BS EN 166:2002</w:t>
            </w:r>
          </w:p>
          <w:p w:rsidR="00354B58" w:rsidRPr="00090335" w:rsidRDefault="006374C9" w:rsidP="00354B58">
            <w:pPr>
              <w:jc w:val="both"/>
              <w:rPr>
                <w:sz w:val="16"/>
                <w:szCs w:val="16"/>
              </w:rPr>
            </w:pPr>
            <w:r>
              <w:rPr>
                <w:sz w:val="16"/>
                <w:szCs w:val="16"/>
              </w:rPr>
              <w:t>Note: If</w:t>
            </w:r>
            <w:r w:rsidR="00354B58" w:rsidRPr="00090335">
              <w:rPr>
                <w:sz w:val="16"/>
                <w:szCs w:val="16"/>
              </w:rPr>
              <w:t xml:space="preserve"> re-usable manufacturer should provide specific</w:t>
            </w:r>
          </w:p>
          <w:p w:rsidR="00354B58" w:rsidRPr="00090335" w:rsidRDefault="00354B58" w:rsidP="00354B58">
            <w:pPr>
              <w:jc w:val="both"/>
              <w:rPr>
                <w:sz w:val="16"/>
                <w:szCs w:val="16"/>
              </w:rPr>
            </w:pPr>
            <w:r w:rsidRPr="00090335">
              <w:rPr>
                <w:sz w:val="16"/>
                <w:szCs w:val="16"/>
              </w:rPr>
              <w:t>instructions for cleaning and disinfection.</w:t>
            </w:r>
          </w:p>
        </w:tc>
        <w:tc>
          <w:tcPr>
            <w:tcW w:w="3492" w:type="dxa"/>
          </w:tcPr>
          <w:p w:rsidR="001B6FC6" w:rsidRPr="00090335" w:rsidRDefault="001B6FC6" w:rsidP="004328C3">
            <w:pPr>
              <w:jc w:val="both"/>
              <w:rPr>
                <w:sz w:val="16"/>
                <w:szCs w:val="16"/>
              </w:rPr>
            </w:pPr>
            <w:r w:rsidRPr="00090335">
              <w:rPr>
                <w:sz w:val="16"/>
                <w:szCs w:val="16"/>
              </w:rPr>
              <w:t>BS EN 166:2002</w:t>
            </w:r>
          </w:p>
          <w:p w:rsidR="001B6FC6" w:rsidRPr="00090335" w:rsidRDefault="004328C3" w:rsidP="004328C3">
            <w:pPr>
              <w:jc w:val="both"/>
              <w:rPr>
                <w:sz w:val="16"/>
                <w:szCs w:val="16"/>
              </w:rPr>
            </w:pPr>
            <w:r w:rsidRPr="00090335">
              <w:rPr>
                <w:sz w:val="16"/>
                <w:szCs w:val="16"/>
              </w:rPr>
              <w:t xml:space="preserve">Personal eye protection </w:t>
            </w:r>
          </w:p>
          <w:p w:rsidR="004328C3" w:rsidRPr="00090335" w:rsidRDefault="004328C3" w:rsidP="004328C3">
            <w:pPr>
              <w:jc w:val="both"/>
              <w:rPr>
                <w:sz w:val="16"/>
                <w:szCs w:val="16"/>
              </w:rPr>
            </w:pPr>
            <w:r w:rsidRPr="00090335">
              <w:rPr>
                <w:sz w:val="16"/>
                <w:szCs w:val="16"/>
              </w:rPr>
              <w:t>or</w:t>
            </w:r>
          </w:p>
          <w:p w:rsidR="001B6FC6" w:rsidRPr="00090335" w:rsidRDefault="001B6FC6" w:rsidP="004328C3">
            <w:pPr>
              <w:jc w:val="both"/>
              <w:rPr>
                <w:sz w:val="16"/>
                <w:szCs w:val="16"/>
              </w:rPr>
            </w:pPr>
            <w:r w:rsidRPr="00090335">
              <w:rPr>
                <w:sz w:val="16"/>
                <w:szCs w:val="16"/>
              </w:rPr>
              <w:t>Technical Specification to satisfy the requirements of Annex II of PPE Regulation (EU) 2016/425</w:t>
            </w:r>
          </w:p>
          <w:p w:rsidR="00836ADC" w:rsidRPr="00090335" w:rsidRDefault="00836ADC" w:rsidP="004328C3">
            <w:pPr>
              <w:jc w:val="both"/>
              <w:rPr>
                <w:sz w:val="16"/>
                <w:szCs w:val="16"/>
              </w:rPr>
            </w:pPr>
            <w:r w:rsidRPr="00090335">
              <w:rPr>
                <w:sz w:val="16"/>
                <w:szCs w:val="16"/>
              </w:rPr>
              <w:t xml:space="preserve">or </w:t>
            </w:r>
          </w:p>
          <w:p w:rsidR="00836ADC" w:rsidRPr="00090335" w:rsidRDefault="00836ADC" w:rsidP="004328C3">
            <w:pPr>
              <w:jc w:val="both"/>
              <w:rPr>
                <w:sz w:val="16"/>
                <w:szCs w:val="16"/>
              </w:rPr>
            </w:pPr>
            <w:r w:rsidRPr="00090335">
              <w:rPr>
                <w:sz w:val="16"/>
                <w:szCs w:val="16"/>
              </w:rPr>
              <w:t>CE Marked</w:t>
            </w:r>
          </w:p>
        </w:tc>
      </w:tr>
      <w:tr w:rsidR="004572B6" w:rsidTr="004572B6">
        <w:trPr>
          <w:trHeight w:val="3109"/>
        </w:trPr>
        <w:tc>
          <w:tcPr>
            <w:tcW w:w="2263" w:type="dxa"/>
          </w:tcPr>
          <w:p w:rsidR="004572B6" w:rsidRPr="00090335" w:rsidRDefault="004572B6">
            <w:pPr>
              <w:rPr>
                <w:sz w:val="16"/>
                <w:szCs w:val="16"/>
              </w:rPr>
            </w:pPr>
            <w:r w:rsidRPr="00090335">
              <w:rPr>
                <w:sz w:val="16"/>
                <w:szCs w:val="16"/>
              </w:rPr>
              <w:t xml:space="preserve">Hand </w:t>
            </w:r>
            <w:proofErr w:type="spellStart"/>
            <w:r w:rsidRPr="00090335">
              <w:rPr>
                <w:sz w:val="16"/>
                <w:szCs w:val="16"/>
              </w:rPr>
              <w:t>Santiser</w:t>
            </w:r>
            <w:proofErr w:type="spellEnd"/>
          </w:p>
          <w:p w:rsidR="004572B6" w:rsidRPr="00090335" w:rsidRDefault="004572B6">
            <w:pPr>
              <w:rPr>
                <w:sz w:val="16"/>
                <w:szCs w:val="16"/>
              </w:rPr>
            </w:pPr>
          </w:p>
          <w:p w:rsidR="004572B6" w:rsidRPr="00090335" w:rsidRDefault="004572B6">
            <w:pPr>
              <w:rPr>
                <w:sz w:val="16"/>
                <w:szCs w:val="16"/>
              </w:rPr>
            </w:pPr>
            <w:r w:rsidRPr="00090335">
              <w:rPr>
                <w:noProof/>
                <w:sz w:val="16"/>
                <w:szCs w:val="16"/>
              </w:rPr>
              <w:drawing>
                <wp:inline distT="0" distB="0" distL="0" distR="0" wp14:anchorId="46E4C635" wp14:editId="68698D10">
                  <wp:extent cx="1046834" cy="152971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56801" cy="1544280"/>
                          </a:xfrm>
                          <a:prstGeom prst="rect">
                            <a:avLst/>
                          </a:prstGeom>
                        </pic:spPr>
                      </pic:pic>
                    </a:graphicData>
                  </a:graphic>
                </wp:inline>
              </w:drawing>
            </w:r>
          </w:p>
        </w:tc>
        <w:tc>
          <w:tcPr>
            <w:tcW w:w="3995" w:type="dxa"/>
          </w:tcPr>
          <w:p w:rsidR="004572B6" w:rsidRPr="00090335" w:rsidRDefault="004572B6" w:rsidP="004328C3">
            <w:pPr>
              <w:jc w:val="both"/>
              <w:rPr>
                <w:sz w:val="16"/>
                <w:szCs w:val="16"/>
              </w:rPr>
            </w:pPr>
          </w:p>
        </w:tc>
        <w:tc>
          <w:tcPr>
            <w:tcW w:w="3492" w:type="dxa"/>
          </w:tcPr>
          <w:p w:rsidR="004572B6" w:rsidRPr="00090335" w:rsidRDefault="004572B6" w:rsidP="004328C3">
            <w:pPr>
              <w:jc w:val="both"/>
              <w:rPr>
                <w:sz w:val="16"/>
                <w:szCs w:val="16"/>
              </w:rPr>
            </w:pPr>
            <w:r w:rsidRPr="00090335">
              <w:rPr>
                <w:sz w:val="16"/>
                <w:szCs w:val="16"/>
              </w:rPr>
              <w:object w:dxaOrig="1543"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AcroExch.Document.DC" ShapeID="_x0000_i1025" DrawAspect="Icon" ObjectID="_1651558522" r:id="rId12"/>
              </w:object>
            </w:r>
          </w:p>
        </w:tc>
      </w:tr>
    </w:tbl>
    <w:p w:rsidR="00F145F8" w:rsidRDefault="00F145F8"/>
    <w:p w:rsidR="004572B6" w:rsidRDefault="004572B6"/>
    <w:sectPr w:rsidR="004572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5993"/>
    <w:multiLevelType w:val="hybridMultilevel"/>
    <w:tmpl w:val="E0EEA612"/>
    <w:lvl w:ilvl="0" w:tplc="3D9AC742">
      <w:start w:val="36"/>
      <w:numFmt w:val="bullet"/>
      <w:lvlText w:val="-"/>
      <w:lvlJc w:val="left"/>
      <w:pPr>
        <w:ind w:left="394" w:hanging="360"/>
      </w:pPr>
      <w:rPr>
        <w:rFonts w:ascii="Arial" w:eastAsia="Arial" w:hAnsi="Aria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 w15:restartNumberingAfterBreak="0">
    <w:nsid w:val="1E432441"/>
    <w:multiLevelType w:val="hybridMultilevel"/>
    <w:tmpl w:val="F0CC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3463F"/>
    <w:multiLevelType w:val="hybridMultilevel"/>
    <w:tmpl w:val="49EE8600"/>
    <w:lvl w:ilvl="0" w:tplc="3DD69818">
      <w:numFmt w:val="bullet"/>
      <w:lvlText w:val=""/>
      <w:lvlJc w:val="left"/>
      <w:pPr>
        <w:ind w:left="828" w:hanging="360"/>
      </w:pPr>
      <w:rPr>
        <w:rFonts w:ascii="Symbol" w:eastAsia="Symbol" w:hAnsi="Symbol" w:cs="Symbol" w:hint="default"/>
        <w:w w:val="100"/>
        <w:sz w:val="22"/>
        <w:szCs w:val="22"/>
        <w:lang w:val="en-US" w:eastAsia="en-US" w:bidi="ar-SA"/>
      </w:rPr>
    </w:lvl>
    <w:lvl w:ilvl="1" w:tplc="45EE2E60">
      <w:numFmt w:val="bullet"/>
      <w:lvlText w:val="•"/>
      <w:lvlJc w:val="left"/>
      <w:pPr>
        <w:ind w:left="1488" w:hanging="360"/>
      </w:pPr>
      <w:rPr>
        <w:rFonts w:hint="default"/>
        <w:lang w:val="en-US" w:eastAsia="en-US" w:bidi="ar-SA"/>
      </w:rPr>
    </w:lvl>
    <w:lvl w:ilvl="2" w:tplc="646E3E44">
      <w:numFmt w:val="bullet"/>
      <w:lvlText w:val="•"/>
      <w:lvlJc w:val="left"/>
      <w:pPr>
        <w:ind w:left="2156" w:hanging="360"/>
      </w:pPr>
      <w:rPr>
        <w:rFonts w:hint="default"/>
        <w:lang w:val="en-US" w:eastAsia="en-US" w:bidi="ar-SA"/>
      </w:rPr>
    </w:lvl>
    <w:lvl w:ilvl="3" w:tplc="444A1AA6">
      <w:numFmt w:val="bullet"/>
      <w:lvlText w:val="•"/>
      <w:lvlJc w:val="left"/>
      <w:pPr>
        <w:ind w:left="2824" w:hanging="360"/>
      </w:pPr>
      <w:rPr>
        <w:rFonts w:hint="default"/>
        <w:lang w:val="en-US" w:eastAsia="en-US" w:bidi="ar-SA"/>
      </w:rPr>
    </w:lvl>
    <w:lvl w:ilvl="4" w:tplc="AC12BE14">
      <w:numFmt w:val="bullet"/>
      <w:lvlText w:val="•"/>
      <w:lvlJc w:val="left"/>
      <w:pPr>
        <w:ind w:left="3493" w:hanging="360"/>
      </w:pPr>
      <w:rPr>
        <w:rFonts w:hint="default"/>
        <w:lang w:val="en-US" w:eastAsia="en-US" w:bidi="ar-SA"/>
      </w:rPr>
    </w:lvl>
    <w:lvl w:ilvl="5" w:tplc="9FA63298">
      <w:numFmt w:val="bullet"/>
      <w:lvlText w:val="•"/>
      <w:lvlJc w:val="left"/>
      <w:pPr>
        <w:ind w:left="4161" w:hanging="360"/>
      </w:pPr>
      <w:rPr>
        <w:rFonts w:hint="default"/>
        <w:lang w:val="en-US" w:eastAsia="en-US" w:bidi="ar-SA"/>
      </w:rPr>
    </w:lvl>
    <w:lvl w:ilvl="6" w:tplc="429A8062">
      <w:numFmt w:val="bullet"/>
      <w:lvlText w:val="•"/>
      <w:lvlJc w:val="left"/>
      <w:pPr>
        <w:ind w:left="4829" w:hanging="360"/>
      </w:pPr>
      <w:rPr>
        <w:rFonts w:hint="default"/>
        <w:lang w:val="en-US" w:eastAsia="en-US" w:bidi="ar-SA"/>
      </w:rPr>
    </w:lvl>
    <w:lvl w:ilvl="7" w:tplc="D54ECCF4">
      <w:numFmt w:val="bullet"/>
      <w:lvlText w:val="•"/>
      <w:lvlJc w:val="left"/>
      <w:pPr>
        <w:ind w:left="5498" w:hanging="360"/>
      </w:pPr>
      <w:rPr>
        <w:rFonts w:hint="default"/>
        <w:lang w:val="en-US" w:eastAsia="en-US" w:bidi="ar-SA"/>
      </w:rPr>
    </w:lvl>
    <w:lvl w:ilvl="8" w:tplc="271CE4F6">
      <w:numFmt w:val="bullet"/>
      <w:lvlText w:val="•"/>
      <w:lvlJc w:val="left"/>
      <w:pPr>
        <w:ind w:left="6166" w:hanging="360"/>
      </w:pPr>
      <w:rPr>
        <w:rFonts w:hint="default"/>
        <w:lang w:val="en-US" w:eastAsia="en-US" w:bidi="ar-SA"/>
      </w:rPr>
    </w:lvl>
  </w:abstractNum>
  <w:abstractNum w:abstractNumId="3" w15:restartNumberingAfterBreak="0">
    <w:nsid w:val="4B636735"/>
    <w:multiLevelType w:val="hybridMultilevel"/>
    <w:tmpl w:val="79203C76"/>
    <w:lvl w:ilvl="0" w:tplc="3D9AC742">
      <w:start w:val="3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6850F5"/>
    <w:multiLevelType w:val="hybridMultilevel"/>
    <w:tmpl w:val="FB464806"/>
    <w:lvl w:ilvl="0" w:tplc="7086616C">
      <w:numFmt w:val="bullet"/>
      <w:lvlText w:val=""/>
      <w:lvlJc w:val="left"/>
      <w:pPr>
        <w:ind w:left="828" w:hanging="360"/>
      </w:pPr>
      <w:rPr>
        <w:rFonts w:ascii="Symbol" w:eastAsia="Symbol" w:hAnsi="Symbol" w:cs="Symbol" w:hint="default"/>
        <w:w w:val="100"/>
        <w:sz w:val="22"/>
        <w:szCs w:val="22"/>
        <w:lang w:val="en-US" w:eastAsia="en-US" w:bidi="ar-SA"/>
      </w:rPr>
    </w:lvl>
    <w:lvl w:ilvl="1" w:tplc="EE76C648">
      <w:numFmt w:val="bullet"/>
      <w:lvlText w:val="•"/>
      <w:lvlJc w:val="left"/>
      <w:pPr>
        <w:ind w:left="1488" w:hanging="360"/>
      </w:pPr>
      <w:rPr>
        <w:rFonts w:hint="default"/>
        <w:lang w:val="en-US" w:eastAsia="en-US" w:bidi="ar-SA"/>
      </w:rPr>
    </w:lvl>
    <w:lvl w:ilvl="2" w:tplc="2F808AAA">
      <w:numFmt w:val="bullet"/>
      <w:lvlText w:val="•"/>
      <w:lvlJc w:val="left"/>
      <w:pPr>
        <w:ind w:left="2156" w:hanging="360"/>
      </w:pPr>
      <w:rPr>
        <w:rFonts w:hint="default"/>
        <w:lang w:val="en-US" w:eastAsia="en-US" w:bidi="ar-SA"/>
      </w:rPr>
    </w:lvl>
    <w:lvl w:ilvl="3" w:tplc="16AE81B2">
      <w:numFmt w:val="bullet"/>
      <w:lvlText w:val="•"/>
      <w:lvlJc w:val="left"/>
      <w:pPr>
        <w:ind w:left="2824" w:hanging="360"/>
      </w:pPr>
      <w:rPr>
        <w:rFonts w:hint="default"/>
        <w:lang w:val="en-US" w:eastAsia="en-US" w:bidi="ar-SA"/>
      </w:rPr>
    </w:lvl>
    <w:lvl w:ilvl="4" w:tplc="202CB76E">
      <w:numFmt w:val="bullet"/>
      <w:lvlText w:val="•"/>
      <w:lvlJc w:val="left"/>
      <w:pPr>
        <w:ind w:left="3493" w:hanging="360"/>
      </w:pPr>
      <w:rPr>
        <w:rFonts w:hint="default"/>
        <w:lang w:val="en-US" w:eastAsia="en-US" w:bidi="ar-SA"/>
      </w:rPr>
    </w:lvl>
    <w:lvl w:ilvl="5" w:tplc="87A4FF58">
      <w:numFmt w:val="bullet"/>
      <w:lvlText w:val="•"/>
      <w:lvlJc w:val="left"/>
      <w:pPr>
        <w:ind w:left="4161" w:hanging="360"/>
      </w:pPr>
      <w:rPr>
        <w:rFonts w:hint="default"/>
        <w:lang w:val="en-US" w:eastAsia="en-US" w:bidi="ar-SA"/>
      </w:rPr>
    </w:lvl>
    <w:lvl w:ilvl="6" w:tplc="6626548A">
      <w:numFmt w:val="bullet"/>
      <w:lvlText w:val="•"/>
      <w:lvlJc w:val="left"/>
      <w:pPr>
        <w:ind w:left="4829" w:hanging="360"/>
      </w:pPr>
      <w:rPr>
        <w:rFonts w:hint="default"/>
        <w:lang w:val="en-US" w:eastAsia="en-US" w:bidi="ar-SA"/>
      </w:rPr>
    </w:lvl>
    <w:lvl w:ilvl="7" w:tplc="8CC262B6">
      <w:numFmt w:val="bullet"/>
      <w:lvlText w:val="•"/>
      <w:lvlJc w:val="left"/>
      <w:pPr>
        <w:ind w:left="5498" w:hanging="360"/>
      </w:pPr>
      <w:rPr>
        <w:rFonts w:hint="default"/>
        <w:lang w:val="en-US" w:eastAsia="en-US" w:bidi="ar-SA"/>
      </w:rPr>
    </w:lvl>
    <w:lvl w:ilvl="8" w:tplc="54828B50">
      <w:numFmt w:val="bullet"/>
      <w:lvlText w:val="•"/>
      <w:lvlJc w:val="left"/>
      <w:pPr>
        <w:ind w:left="6166" w:hanging="360"/>
      </w:pPr>
      <w:rPr>
        <w:rFonts w:hint="default"/>
        <w:lang w:val="en-US" w:eastAsia="en-US" w:bidi="ar-SA"/>
      </w:rPr>
    </w:lvl>
  </w:abstractNum>
  <w:abstractNum w:abstractNumId="5" w15:restartNumberingAfterBreak="0">
    <w:nsid w:val="70041EC9"/>
    <w:multiLevelType w:val="hybridMultilevel"/>
    <w:tmpl w:val="64BAB1C6"/>
    <w:lvl w:ilvl="0" w:tplc="ADF8B96C">
      <w:numFmt w:val="bullet"/>
      <w:lvlText w:val=""/>
      <w:lvlJc w:val="left"/>
      <w:pPr>
        <w:ind w:left="828" w:hanging="360"/>
      </w:pPr>
      <w:rPr>
        <w:rFonts w:ascii="Symbol" w:eastAsia="Symbol" w:hAnsi="Symbol" w:cs="Symbol" w:hint="default"/>
        <w:w w:val="100"/>
        <w:sz w:val="22"/>
        <w:szCs w:val="22"/>
        <w:lang w:val="en-US" w:eastAsia="en-US" w:bidi="ar-SA"/>
      </w:rPr>
    </w:lvl>
    <w:lvl w:ilvl="1" w:tplc="E78A1B2E">
      <w:numFmt w:val="bullet"/>
      <w:lvlText w:val="•"/>
      <w:lvlJc w:val="left"/>
      <w:pPr>
        <w:ind w:left="1488" w:hanging="360"/>
      </w:pPr>
      <w:rPr>
        <w:rFonts w:hint="default"/>
        <w:lang w:val="en-US" w:eastAsia="en-US" w:bidi="ar-SA"/>
      </w:rPr>
    </w:lvl>
    <w:lvl w:ilvl="2" w:tplc="194603A0">
      <w:numFmt w:val="bullet"/>
      <w:lvlText w:val="•"/>
      <w:lvlJc w:val="left"/>
      <w:pPr>
        <w:ind w:left="2156" w:hanging="360"/>
      </w:pPr>
      <w:rPr>
        <w:rFonts w:hint="default"/>
        <w:lang w:val="en-US" w:eastAsia="en-US" w:bidi="ar-SA"/>
      </w:rPr>
    </w:lvl>
    <w:lvl w:ilvl="3" w:tplc="62FE14E6">
      <w:numFmt w:val="bullet"/>
      <w:lvlText w:val="•"/>
      <w:lvlJc w:val="left"/>
      <w:pPr>
        <w:ind w:left="2824" w:hanging="360"/>
      </w:pPr>
      <w:rPr>
        <w:rFonts w:hint="default"/>
        <w:lang w:val="en-US" w:eastAsia="en-US" w:bidi="ar-SA"/>
      </w:rPr>
    </w:lvl>
    <w:lvl w:ilvl="4" w:tplc="178CCDD6">
      <w:numFmt w:val="bullet"/>
      <w:lvlText w:val="•"/>
      <w:lvlJc w:val="left"/>
      <w:pPr>
        <w:ind w:left="3493" w:hanging="360"/>
      </w:pPr>
      <w:rPr>
        <w:rFonts w:hint="default"/>
        <w:lang w:val="en-US" w:eastAsia="en-US" w:bidi="ar-SA"/>
      </w:rPr>
    </w:lvl>
    <w:lvl w:ilvl="5" w:tplc="419EC382">
      <w:numFmt w:val="bullet"/>
      <w:lvlText w:val="•"/>
      <w:lvlJc w:val="left"/>
      <w:pPr>
        <w:ind w:left="4161" w:hanging="360"/>
      </w:pPr>
      <w:rPr>
        <w:rFonts w:hint="default"/>
        <w:lang w:val="en-US" w:eastAsia="en-US" w:bidi="ar-SA"/>
      </w:rPr>
    </w:lvl>
    <w:lvl w:ilvl="6" w:tplc="CD5614A8">
      <w:numFmt w:val="bullet"/>
      <w:lvlText w:val="•"/>
      <w:lvlJc w:val="left"/>
      <w:pPr>
        <w:ind w:left="4829" w:hanging="360"/>
      </w:pPr>
      <w:rPr>
        <w:rFonts w:hint="default"/>
        <w:lang w:val="en-US" w:eastAsia="en-US" w:bidi="ar-SA"/>
      </w:rPr>
    </w:lvl>
    <w:lvl w:ilvl="7" w:tplc="AE045A68">
      <w:numFmt w:val="bullet"/>
      <w:lvlText w:val="•"/>
      <w:lvlJc w:val="left"/>
      <w:pPr>
        <w:ind w:left="5498" w:hanging="360"/>
      </w:pPr>
      <w:rPr>
        <w:rFonts w:hint="default"/>
        <w:lang w:val="en-US" w:eastAsia="en-US" w:bidi="ar-SA"/>
      </w:rPr>
    </w:lvl>
    <w:lvl w:ilvl="8" w:tplc="C8D880F4">
      <w:numFmt w:val="bullet"/>
      <w:lvlText w:val="•"/>
      <w:lvlJc w:val="left"/>
      <w:pPr>
        <w:ind w:left="6166" w:hanging="360"/>
      </w:pPr>
      <w:rPr>
        <w:rFonts w:hint="default"/>
        <w:lang w:val="en-US" w:eastAsia="en-US" w:bidi="ar-SA"/>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F8"/>
    <w:rsid w:val="00090335"/>
    <w:rsid w:val="001B6FC6"/>
    <w:rsid w:val="00214085"/>
    <w:rsid w:val="00235E29"/>
    <w:rsid w:val="00354B58"/>
    <w:rsid w:val="003A4C00"/>
    <w:rsid w:val="004328C3"/>
    <w:rsid w:val="004572B6"/>
    <w:rsid w:val="0048314C"/>
    <w:rsid w:val="006374C9"/>
    <w:rsid w:val="006C58F2"/>
    <w:rsid w:val="006C7293"/>
    <w:rsid w:val="00747C1C"/>
    <w:rsid w:val="007E6C3A"/>
    <w:rsid w:val="00836ADC"/>
    <w:rsid w:val="00F14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A574"/>
  <w15:chartTrackingRefBased/>
  <w15:docId w15:val="{24984135-5AF2-4CA2-B5AF-1AEADE91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C58F2"/>
    <w:pPr>
      <w:widowControl w:val="0"/>
      <w:autoSpaceDE w:val="0"/>
      <w:autoSpaceDN w:val="0"/>
      <w:spacing w:after="0" w:line="240" w:lineRule="auto"/>
    </w:pPr>
    <w:rPr>
      <w:rFonts w:ascii="Arial" w:eastAsia="Arial" w:hAnsi="Arial" w:cs="Arial"/>
      <w:lang w:val="en-US"/>
    </w:rPr>
  </w:style>
  <w:style w:type="paragraph" w:styleId="ListParagraph">
    <w:name w:val="List Paragraph"/>
    <w:basedOn w:val="Normal"/>
    <w:uiPriority w:val="34"/>
    <w:qFormat/>
    <w:rsid w:val="006C7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Jay (H&amp;S)</dc:creator>
  <cp:keywords/>
  <dc:description/>
  <cp:lastModifiedBy>Patel, Jay (H&amp;S)</cp:lastModifiedBy>
  <cp:revision>6</cp:revision>
  <dcterms:created xsi:type="dcterms:W3CDTF">2020-05-20T21:22:00Z</dcterms:created>
  <dcterms:modified xsi:type="dcterms:W3CDTF">2020-05-21T08:24:00Z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-43297073</vt:i4>
  </property>
  <property fmtid="{D5CDD505-2E9C-101B-9397-08002B2CF9AE}" pid="3" name="_NewReviewCycle">
    <vt:lpwstr/>
  </property>
  <property fmtid="{D5CDD505-2E9C-101B-9397-08002B2CF9AE}" pid="4" name="_EmailSubject">
    <vt:lpwstr>PPE supplies compiled by H&amp;S Team</vt:lpwstr>
  </property>
  <property fmtid="{D5CDD505-2E9C-101B-9397-08002B2CF9AE}" pid="5" name="_AuthorEmail">
    <vt:lpwstr>Hannah.Richens@barnet.gov.uk</vt:lpwstr>
  </property>
  <property fmtid="{D5CDD505-2E9C-101B-9397-08002B2CF9AE}" pid="6" name="_AuthorEmailDisplayName">
    <vt:lpwstr>Richens, Hannah</vt:lpwstr>
  </property>
  <property fmtid="{D5CDD505-2E9C-101B-9397-08002B2CF9AE}" pid="7" name="_PreviousAdHocReviewCycleID">
    <vt:i4>-912709192</vt:i4>
  </property>
</Properties>
</file>