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99" w:rsidRPr="00CC4C99" w:rsidRDefault="00CC4C99" w:rsidP="00866AE2">
      <w:pPr>
        <w:pStyle w:val="Default"/>
        <w:jc w:val="both"/>
      </w:pPr>
    </w:p>
    <w:p w:rsidR="00331624" w:rsidRDefault="00331624" w:rsidP="00866AE2">
      <w:pPr>
        <w:pStyle w:val="Default"/>
        <w:framePr w:w="9913" w:h="9826" w:hRule="exact" w:wrap="auto" w:vAnchor="page" w:hAnchor="page" w:x="1607" w:y="5101"/>
        <w:jc w:val="both"/>
        <w:rPr>
          <w:sz w:val="56"/>
          <w:szCs w:val="56"/>
        </w:rPr>
      </w:pPr>
      <w:r>
        <w:rPr>
          <w:noProof/>
          <w:sz w:val="56"/>
          <w:szCs w:val="56"/>
        </w:rPr>
        <w:drawing>
          <wp:inline distT="0" distB="0" distL="0" distR="0" wp14:anchorId="2ACA69FE" wp14:editId="3250EBF9">
            <wp:extent cx="5791200" cy="601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6019800"/>
                    </a:xfrm>
                    <a:prstGeom prst="rect">
                      <a:avLst/>
                    </a:prstGeom>
                    <a:noFill/>
                    <a:ln>
                      <a:noFill/>
                    </a:ln>
                  </pic:spPr>
                </pic:pic>
              </a:graphicData>
            </a:graphic>
          </wp:inline>
        </w:drawing>
      </w:r>
    </w:p>
    <w:p w:rsidR="00331624" w:rsidRDefault="0086031C" w:rsidP="00866AE2">
      <w:pPr>
        <w:pStyle w:val="CM22"/>
        <w:spacing w:after="1" w:line="646" w:lineRule="atLeast"/>
        <w:jc w:val="both"/>
      </w:pPr>
      <w:r>
        <w:t xml:space="preserve"> </w:t>
      </w:r>
    </w:p>
    <w:p w:rsidR="00CC4C99" w:rsidRPr="00F251FB" w:rsidRDefault="0086031C" w:rsidP="00952B30">
      <w:pPr>
        <w:pStyle w:val="CM22"/>
        <w:spacing w:after="1" w:line="646" w:lineRule="atLeast"/>
        <w:jc w:val="center"/>
        <w:rPr>
          <w:b/>
          <w:bCs/>
          <w:color w:val="00ABAB"/>
          <w:sz w:val="56"/>
          <w:szCs w:val="56"/>
        </w:rPr>
      </w:pPr>
      <w:r w:rsidRPr="00F251FB">
        <w:rPr>
          <w:b/>
          <w:bCs/>
          <w:color w:val="00ABAB"/>
          <w:sz w:val="56"/>
          <w:szCs w:val="56"/>
        </w:rPr>
        <w:t>Barnet Council Tax Support Scheme</w:t>
      </w:r>
    </w:p>
    <w:p w:rsidR="00E45053" w:rsidRDefault="00CC4C99" w:rsidP="00952B30">
      <w:pPr>
        <w:pStyle w:val="CM22"/>
        <w:spacing w:after="1" w:line="646" w:lineRule="atLeast"/>
        <w:jc w:val="center"/>
        <w:rPr>
          <w:color w:val="000000"/>
        </w:rPr>
      </w:pPr>
      <w:r w:rsidRPr="00F251FB">
        <w:rPr>
          <w:b/>
          <w:bCs/>
          <w:color w:val="00ABAB"/>
          <w:sz w:val="56"/>
          <w:szCs w:val="56"/>
        </w:rPr>
        <w:t>Effective 1 April 20</w:t>
      </w:r>
      <w:r w:rsidR="000018BC">
        <w:rPr>
          <w:b/>
          <w:bCs/>
          <w:color w:val="00ABAB"/>
          <w:sz w:val="56"/>
          <w:szCs w:val="56"/>
        </w:rPr>
        <w:t>20</w:t>
      </w:r>
      <w:r w:rsidR="00E45053">
        <w:br w:type="page"/>
      </w:r>
    </w:p>
    <w:p w:rsidR="00543DC7" w:rsidRDefault="00593A4E">
      <w:pPr>
        <w:pStyle w:val="TOC1"/>
        <w:tabs>
          <w:tab w:val="right" w:leader="dot" w:pos="9791"/>
        </w:tabs>
        <w:rPr>
          <w:noProof/>
        </w:rPr>
      </w:pPr>
      <w:r>
        <w:fldChar w:fldCharType="begin"/>
      </w:r>
      <w:r>
        <w:instrText xml:space="preserve"> TOC \o "1-3" \h \z \u </w:instrText>
      </w:r>
      <w:r>
        <w:fldChar w:fldCharType="separate"/>
      </w:r>
      <w:hyperlink w:anchor="_Toc527460500" w:history="1">
        <w:r w:rsidR="00543DC7" w:rsidRPr="00495561">
          <w:rPr>
            <w:rStyle w:val="Hyperlink"/>
            <w:noProof/>
          </w:rPr>
          <w:t>Glossary</w:t>
        </w:r>
        <w:r w:rsidR="00543DC7">
          <w:rPr>
            <w:noProof/>
            <w:webHidden/>
          </w:rPr>
          <w:tab/>
        </w:r>
        <w:r w:rsidR="00543DC7">
          <w:rPr>
            <w:noProof/>
            <w:webHidden/>
          </w:rPr>
          <w:fldChar w:fldCharType="begin"/>
        </w:r>
        <w:r w:rsidR="00543DC7">
          <w:rPr>
            <w:noProof/>
            <w:webHidden/>
          </w:rPr>
          <w:instrText xml:space="preserve"> PAGEREF _Toc527460500 \h </w:instrText>
        </w:r>
        <w:r w:rsidR="00543DC7">
          <w:rPr>
            <w:noProof/>
            <w:webHidden/>
          </w:rPr>
        </w:r>
        <w:r w:rsidR="00543DC7">
          <w:rPr>
            <w:noProof/>
            <w:webHidden/>
          </w:rPr>
          <w:fldChar w:fldCharType="separate"/>
        </w:r>
        <w:r w:rsidR="00E30A82">
          <w:rPr>
            <w:noProof/>
            <w:webHidden/>
          </w:rPr>
          <w:t>3</w:t>
        </w:r>
        <w:r w:rsidR="00543DC7">
          <w:rPr>
            <w:noProof/>
            <w:webHidden/>
          </w:rPr>
          <w:fldChar w:fldCharType="end"/>
        </w:r>
      </w:hyperlink>
    </w:p>
    <w:p w:rsidR="00543DC7" w:rsidRDefault="004F40BF">
      <w:pPr>
        <w:pStyle w:val="TOC1"/>
        <w:tabs>
          <w:tab w:val="right" w:leader="dot" w:pos="9791"/>
        </w:tabs>
        <w:rPr>
          <w:noProof/>
        </w:rPr>
      </w:pPr>
      <w:hyperlink w:anchor="_Toc527460501" w:history="1">
        <w:r w:rsidR="00543DC7" w:rsidRPr="00495561">
          <w:rPr>
            <w:rStyle w:val="Hyperlink"/>
            <w:noProof/>
          </w:rPr>
          <w:t>1 Introduction</w:t>
        </w:r>
        <w:r w:rsidR="00543DC7">
          <w:rPr>
            <w:noProof/>
            <w:webHidden/>
          </w:rPr>
          <w:tab/>
        </w:r>
        <w:r w:rsidR="00543DC7">
          <w:rPr>
            <w:noProof/>
            <w:webHidden/>
          </w:rPr>
          <w:fldChar w:fldCharType="begin"/>
        </w:r>
        <w:r w:rsidR="00543DC7">
          <w:rPr>
            <w:noProof/>
            <w:webHidden/>
          </w:rPr>
          <w:instrText xml:space="preserve"> PAGEREF _Toc527460501 \h </w:instrText>
        </w:r>
        <w:r w:rsidR="00543DC7">
          <w:rPr>
            <w:noProof/>
            <w:webHidden/>
          </w:rPr>
        </w:r>
        <w:r w:rsidR="00543DC7">
          <w:rPr>
            <w:noProof/>
            <w:webHidden/>
          </w:rPr>
          <w:fldChar w:fldCharType="separate"/>
        </w:r>
        <w:r w:rsidR="00E30A82">
          <w:rPr>
            <w:noProof/>
            <w:webHidden/>
          </w:rPr>
          <w:t>5</w:t>
        </w:r>
        <w:r w:rsidR="00543DC7">
          <w:rPr>
            <w:noProof/>
            <w:webHidden/>
          </w:rPr>
          <w:fldChar w:fldCharType="end"/>
        </w:r>
      </w:hyperlink>
    </w:p>
    <w:p w:rsidR="00543DC7" w:rsidRDefault="004F40BF">
      <w:pPr>
        <w:pStyle w:val="TOC1"/>
        <w:tabs>
          <w:tab w:val="right" w:leader="dot" w:pos="9791"/>
        </w:tabs>
        <w:rPr>
          <w:noProof/>
        </w:rPr>
      </w:pPr>
      <w:hyperlink w:anchor="_Toc527460502" w:history="1">
        <w:r w:rsidR="00543DC7" w:rsidRPr="00495561">
          <w:rPr>
            <w:rStyle w:val="Hyperlink"/>
            <w:noProof/>
          </w:rPr>
          <w:t>2 Classes of Persons</w:t>
        </w:r>
        <w:r w:rsidR="00543DC7">
          <w:rPr>
            <w:noProof/>
            <w:webHidden/>
          </w:rPr>
          <w:tab/>
        </w:r>
        <w:r w:rsidR="00543DC7">
          <w:rPr>
            <w:noProof/>
            <w:webHidden/>
          </w:rPr>
          <w:fldChar w:fldCharType="begin"/>
        </w:r>
        <w:r w:rsidR="00543DC7">
          <w:rPr>
            <w:noProof/>
            <w:webHidden/>
          </w:rPr>
          <w:instrText xml:space="preserve"> PAGEREF _Toc527460502 \h </w:instrText>
        </w:r>
        <w:r w:rsidR="00543DC7">
          <w:rPr>
            <w:noProof/>
            <w:webHidden/>
          </w:rPr>
        </w:r>
        <w:r w:rsidR="00543DC7">
          <w:rPr>
            <w:noProof/>
            <w:webHidden/>
          </w:rPr>
          <w:fldChar w:fldCharType="separate"/>
        </w:r>
        <w:r w:rsidR="00E30A82">
          <w:rPr>
            <w:noProof/>
            <w:webHidden/>
          </w:rPr>
          <w:t>5</w:t>
        </w:r>
        <w:r w:rsidR="00543DC7">
          <w:rPr>
            <w:noProof/>
            <w:webHidden/>
          </w:rPr>
          <w:fldChar w:fldCharType="end"/>
        </w:r>
      </w:hyperlink>
    </w:p>
    <w:p w:rsidR="00543DC7" w:rsidRDefault="004F40BF">
      <w:pPr>
        <w:pStyle w:val="TOC1"/>
        <w:tabs>
          <w:tab w:val="right" w:leader="dot" w:pos="9791"/>
        </w:tabs>
        <w:rPr>
          <w:noProof/>
        </w:rPr>
      </w:pPr>
      <w:hyperlink w:anchor="_Toc527460503" w:history="1">
        <w:r w:rsidR="00543DC7" w:rsidRPr="00495561">
          <w:rPr>
            <w:rStyle w:val="Hyperlink"/>
            <w:noProof/>
          </w:rPr>
          <w:t>3 Maximum Council Tax Support for the purposes of calculating eligibility for support under this scheme and amount of reduction</w:t>
        </w:r>
        <w:r w:rsidR="00543DC7">
          <w:rPr>
            <w:noProof/>
            <w:webHidden/>
          </w:rPr>
          <w:tab/>
        </w:r>
        <w:r w:rsidR="00543DC7">
          <w:rPr>
            <w:noProof/>
            <w:webHidden/>
          </w:rPr>
          <w:fldChar w:fldCharType="begin"/>
        </w:r>
        <w:r w:rsidR="00543DC7">
          <w:rPr>
            <w:noProof/>
            <w:webHidden/>
          </w:rPr>
          <w:instrText xml:space="preserve"> PAGEREF _Toc527460503 \h </w:instrText>
        </w:r>
        <w:r w:rsidR="00543DC7">
          <w:rPr>
            <w:noProof/>
            <w:webHidden/>
          </w:rPr>
        </w:r>
        <w:r w:rsidR="00543DC7">
          <w:rPr>
            <w:noProof/>
            <w:webHidden/>
          </w:rPr>
          <w:fldChar w:fldCharType="separate"/>
        </w:r>
        <w:r w:rsidR="00E30A82">
          <w:rPr>
            <w:noProof/>
            <w:webHidden/>
          </w:rPr>
          <w:t>6</w:t>
        </w:r>
        <w:r w:rsidR="00543DC7">
          <w:rPr>
            <w:noProof/>
            <w:webHidden/>
          </w:rPr>
          <w:fldChar w:fldCharType="end"/>
        </w:r>
      </w:hyperlink>
    </w:p>
    <w:p w:rsidR="00543DC7" w:rsidRDefault="004F40BF">
      <w:pPr>
        <w:pStyle w:val="TOC1"/>
        <w:tabs>
          <w:tab w:val="right" w:leader="dot" w:pos="9791"/>
        </w:tabs>
        <w:rPr>
          <w:noProof/>
        </w:rPr>
      </w:pPr>
      <w:hyperlink w:anchor="_Toc527460504" w:history="1">
        <w:r w:rsidR="00543DC7" w:rsidRPr="00495561">
          <w:rPr>
            <w:rStyle w:val="Hyperlink"/>
            <w:noProof/>
          </w:rPr>
          <w:t>4 Non-dependant deductions: pensioners and persons who are not pensioners</w:t>
        </w:r>
        <w:r w:rsidR="00543DC7">
          <w:rPr>
            <w:noProof/>
            <w:webHidden/>
          </w:rPr>
          <w:tab/>
        </w:r>
        <w:r w:rsidR="00543DC7">
          <w:rPr>
            <w:noProof/>
            <w:webHidden/>
          </w:rPr>
          <w:fldChar w:fldCharType="begin"/>
        </w:r>
        <w:r w:rsidR="00543DC7">
          <w:rPr>
            <w:noProof/>
            <w:webHidden/>
          </w:rPr>
          <w:instrText xml:space="preserve"> PAGEREF _Toc527460504 \h </w:instrText>
        </w:r>
        <w:r w:rsidR="00543DC7">
          <w:rPr>
            <w:noProof/>
            <w:webHidden/>
          </w:rPr>
        </w:r>
        <w:r w:rsidR="00543DC7">
          <w:rPr>
            <w:noProof/>
            <w:webHidden/>
          </w:rPr>
          <w:fldChar w:fldCharType="separate"/>
        </w:r>
        <w:r w:rsidR="00E30A82">
          <w:rPr>
            <w:noProof/>
            <w:webHidden/>
          </w:rPr>
          <w:t>6</w:t>
        </w:r>
        <w:r w:rsidR="00543DC7">
          <w:rPr>
            <w:noProof/>
            <w:webHidden/>
          </w:rPr>
          <w:fldChar w:fldCharType="end"/>
        </w:r>
      </w:hyperlink>
    </w:p>
    <w:p w:rsidR="00543DC7" w:rsidRDefault="004F40BF">
      <w:pPr>
        <w:pStyle w:val="TOC1"/>
        <w:tabs>
          <w:tab w:val="right" w:leader="dot" w:pos="9791"/>
        </w:tabs>
        <w:rPr>
          <w:noProof/>
        </w:rPr>
      </w:pPr>
      <w:hyperlink w:anchor="_Toc527460505" w:history="1">
        <w:r w:rsidR="00543DC7" w:rsidRPr="00495561">
          <w:rPr>
            <w:rStyle w:val="Hyperlink"/>
            <w:noProof/>
          </w:rPr>
          <w:t>5 Amount of reduction under this scheme</w:t>
        </w:r>
        <w:r w:rsidR="00543DC7">
          <w:rPr>
            <w:noProof/>
            <w:webHidden/>
          </w:rPr>
          <w:tab/>
        </w:r>
        <w:r w:rsidR="00543DC7">
          <w:rPr>
            <w:noProof/>
            <w:webHidden/>
          </w:rPr>
          <w:fldChar w:fldCharType="begin"/>
        </w:r>
        <w:r w:rsidR="00543DC7">
          <w:rPr>
            <w:noProof/>
            <w:webHidden/>
          </w:rPr>
          <w:instrText xml:space="preserve"> PAGEREF _Toc527460505 \h </w:instrText>
        </w:r>
        <w:r w:rsidR="00543DC7">
          <w:rPr>
            <w:noProof/>
            <w:webHidden/>
          </w:rPr>
        </w:r>
        <w:r w:rsidR="00543DC7">
          <w:rPr>
            <w:noProof/>
            <w:webHidden/>
          </w:rPr>
          <w:fldChar w:fldCharType="separate"/>
        </w:r>
        <w:r w:rsidR="00E30A82">
          <w:rPr>
            <w:noProof/>
            <w:webHidden/>
          </w:rPr>
          <w:t>7</w:t>
        </w:r>
        <w:r w:rsidR="00543DC7">
          <w:rPr>
            <w:noProof/>
            <w:webHidden/>
          </w:rPr>
          <w:fldChar w:fldCharType="end"/>
        </w:r>
      </w:hyperlink>
    </w:p>
    <w:p w:rsidR="00543DC7" w:rsidRDefault="004F40BF">
      <w:pPr>
        <w:pStyle w:val="TOC1"/>
        <w:tabs>
          <w:tab w:val="right" w:leader="dot" w:pos="9791"/>
        </w:tabs>
        <w:rPr>
          <w:noProof/>
        </w:rPr>
      </w:pPr>
      <w:hyperlink w:anchor="_Toc527460506" w:history="1">
        <w:r w:rsidR="00543DC7" w:rsidRPr="00495561">
          <w:rPr>
            <w:rStyle w:val="Hyperlink"/>
            <w:noProof/>
          </w:rPr>
          <w:t>6 Capital</w:t>
        </w:r>
        <w:r w:rsidR="00543DC7">
          <w:rPr>
            <w:noProof/>
            <w:webHidden/>
          </w:rPr>
          <w:tab/>
        </w:r>
        <w:r w:rsidR="00543DC7">
          <w:rPr>
            <w:noProof/>
            <w:webHidden/>
          </w:rPr>
          <w:fldChar w:fldCharType="begin"/>
        </w:r>
        <w:r w:rsidR="00543DC7">
          <w:rPr>
            <w:noProof/>
            <w:webHidden/>
          </w:rPr>
          <w:instrText xml:space="preserve"> PAGEREF _Toc527460506 \h </w:instrText>
        </w:r>
        <w:r w:rsidR="00543DC7">
          <w:rPr>
            <w:noProof/>
            <w:webHidden/>
          </w:rPr>
        </w:r>
        <w:r w:rsidR="00543DC7">
          <w:rPr>
            <w:noProof/>
            <w:webHidden/>
          </w:rPr>
          <w:fldChar w:fldCharType="separate"/>
        </w:r>
        <w:r w:rsidR="00E30A82">
          <w:rPr>
            <w:noProof/>
            <w:webHidden/>
          </w:rPr>
          <w:t>7</w:t>
        </w:r>
        <w:r w:rsidR="00543DC7">
          <w:rPr>
            <w:noProof/>
            <w:webHidden/>
          </w:rPr>
          <w:fldChar w:fldCharType="end"/>
        </w:r>
      </w:hyperlink>
    </w:p>
    <w:p w:rsidR="00543DC7" w:rsidRDefault="004F40BF">
      <w:pPr>
        <w:pStyle w:val="TOC1"/>
        <w:tabs>
          <w:tab w:val="right" w:leader="dot" w:pos="9791"/>
        </w:tabs>
        <w:rPr>
          <w:noProof/>
        </w:rPr>
      </w:pPr>
      <w:hyperlink w:anchor="_Toc527460507" w:history="1">
        <w:r w:rsidR="00543DC7" w:rsidRPr="00495561">
          <w:rPr>
            <w:rStyle w:val="Hyperlink"/>
            <w:noProof/>
          </w:rPr>
          <w:t>7 Extended reductions and qualifying conditions for an extended reduction</w:t>
        </w:r>
        <w:r w:rsidR="00543DC7">
          <w:rPr>
            <w:noProof/>
            <w:webHidden/>
          </w:rPr>
          <w:tab/>
        </w:r>
        <w:r w:rsidR="00543DC7">
          <w:rPr>
            <w:noProof/>
            <w:webHidden/>
          </w:rPr>
          <w:fldChar w:fldCharType="begin"/>
        </w:r>
        <w:r w:rsidR="00543DC7">
          <w:rPr>
            <w:noProof/>
            <w:webHidden/>
          </w:rPr>
          <w:instrText xml:space="preserve"> PAGEREF _Toc527460507 \h </w:instrText>
        </w:r>
        <w:r w:rsidR="00543DC7">
          <w:rPr>
            <w:noProof/>
            <w:webHidden/>
          </w:rPr>
        </w:r>
        <w:r w:rsidR="00543DC7">
          <w:rPr>
            <w:noProof/>
            <w:webHidden/>
          </w:rPr>
          <w:fldChar w:fldCharType="separate"/>
        </w:r>
        <w:r w:rsidR="00E30A82">
          <w:rPr>
            <w:noProof/>
            <w:webHidden/>
          </w:rPr>
          <w:t>7</w:t>
        </w:r>
        <w:r w:rsidR="00543DC7">
          <w:rPr>
            <w:noProof/>
            <w:webHidden/>
          </w:rPr>
          <w:fldChar w:fldCharType="end"/>
        </w:r>
      </w:hyperlink>
    </w:p>
    <w:p w:rsidR="00543DC7" w:rsidRDefault="004F40BF">
      <w:pPr>
        <w:pStyle w:val="TOC1"/>
        <w:tabs>
          <w:tab w:val="right" w:leader="dot" w:pos="9791"/>
        </w:tabs>
        <w:rPr>
          <w:noProof/>
        </w:rPr>
      </w:pPr>
      <w:hyperlink w:anchor="_Toc527460508" w:history="1">
        <w:r w:rsidR="00543DC7" w:rsidRPr="00495561">
          <w:rPr>
            <w:rStyle w:val="Hyperlink"/>
            <w:noProof/>
          </w:rPr>
          <w:t>8 Procedural Matters</w:t>
        </w:r>
        <w:r w:rsidR="00543DC7">
          <w:rPr>
            <w:noProof/>
            <w:webHidden/>
          </w:rPr>
          <w:tab/>
        </w:r>
        <w:r w:rsidR="00543DC7">
          <w:rPr>
            <w:noProof/>
            <w:webHidden/>
          </w:rPr>
          <w:fldChar w:fldCharType="begin"/>
        </w:r>
        <w:r w:rsidR="00543DC7">
          <w:rPr>
            <w:noProof/>
            <w:webHidden/>
          </w:rPr>
          <w:instrText xml:space="preserve"> PAGEREF _Toc527460508 \h </w:instrText>
        </w:r>
        <w:r w:rsidR="00543DC7">
          <w:rPr>
            <w:noProof/>
            <w:webHidden/>
          </w:rPr>
        </w:r>
        <w:r w:rsidR="00543DC7">
          <w:rPr>
            <w:noProof/>
            <w:webHidden/>
          </w:rPr>
          <w:fldChar w:fldCharType="separate"/>
        </w:r>
        <w:r w:rsidR="00E30A82">
          <w:rPr>
            <w:noProof/>
            <w:webHidden/>
          </w:rPr>
          <w:t>7</w:t>
        </w:r>
        <w:r w:rsidR="00543DC7">
          <w:rPr>
            <w:noProof/>
            <w:webHidden/>
          </w:rPr>
          <w:fldChar w:fldCharType="end"/>
        </w:r>
      </w:hyperlink>
    </w:p>
    <w:p w:rsidR="00543DC7" w:rsidRDefault="004F40BF">
      <w:pPr>
        <w:pStyle w:val="TOC1"/>
        <w:tabs>
          <w:tab w:val="right" w:leader="dot" w:pos="9791"/>
        </w:tabs>
        <w:rPr>
          <w:noProof/>
        </w:rPr>
      </w:pPr>
      <w:hyperlink w:anchor="_Toc527460509" w:history="1">
        <w:r w:rsidR="00543DC7" w:rsidRPr="00495561">
          <w:rPr>
            <w:rStyle w:val="Hyperlink"/>
            <w:noProof/>
          </w:rPr>
          <w:t>9 Effective date of a change of circumstance</w:t>
        </w:r>
        <w:r w:rsidR="00543DC7">
          <w:rPr>
            <w:noProof/>
            <w:webHidden/>
          </w:rPr>
          <w:tab/>
        </w:r>
        <w:r w:rsidR="00543DC7">
          <w:rPr>
            <w:noProof/>
            <w:webHidden/>
          </w:rPr>
          <w:fldChar w:fldCharType="begin"/>
        </w:r>
        <w:r w:rsidR="00543DC7">
          <w:rPr>
            <w:noProof/>
            <w:webHidden/>
          </w:rPr>
          <w:instrText xml:space="preserve"> PAGEREF _Toc527460509 \h </w:instrText>
        </w:r>
        <w:r w:rsidR="00543DC7">
          <w:rPr>
            <w:noProof/>
            <w:webHidden/>
          </w:rPr>
        </w:r>
        <w:r w:rsidR="00543DC7">
          <w:rPr>
            <w:noProof/>
            <w:webHidden/>
          </w:rPr>
          <w:fldChar w:fldCharType="separate"/>
        </w:r>
        <w:r w:rsidR="00E30A82">
          <w:rPr>
            <w:noProof/>
            <w:webHidden/>
          </w:rPr>
          <w:t>8</w:t>
        </w:r>
        <w:r w:rsidR="00543DC7">
          <w:rPr>
            <w:noProof/>
            <w:webHidden/>
          </w:rPr>
          <w:fldChar w:fldCharType="end"/>
        </w:r>
      </w:hyperlink>
    </w:p>
    <w:p w:rsidR="00543DC7" w:rsidRDefault="004F40BF">
      <w:pPr>
        <w:pStyle w:val="TOC1"/>
        <w:tabs>
          <w:tab w:val="right" w:leader="dot" w:pos="9791"/>
        </w:tabs>
        <w:rPr>
          <w:noProof/>
        </w:rPr>
      </w:pPr>
      <w:hyperlink w:anchor="_Toc527460510" w:history="1">
        <w:r w:rsidR="00543DC7" w:rsidRPr="00495561">
          <w:rPr>
            <w:rStyle w:val="Hyperlink"/>
            <w:noProof/>
          </w:rPr>
          <w:t>10 Appeals</w:t>
        </w:r>
        <w:r w:rsidR="00543DC7">
          <w:rPr>
            <w:noProof/>
            <w:webHidden/>
          </w:rPr>
          <w:tab/>
        </w:r>
        <w:r w:rsidR="00543DC7">
          <w:rPr>
            <w:noProof/>
            <w:webHidden/>
          </w:rPr>
          <w:fldChar w:fldCharType="begin"/>
        </w:r>
        <w:r w:rsidR="00543DC7">
          <w:rPr>
            <w:noProof/>
            <w:webHidden/>
          </w:rPr>
          <w:instrText xml:space="preserve"> PAGEREF _Toc527460510 \h </w:instrText>
        </w:r>
        <w:r w:rsidR="00543DC7">
          <w:rPr>
            <w:noProof/>
            <w:webHidden/>
          </w:rPr>
        </w:r>
        <w:r w:rsidR="00543DC7">
          <w:rPr>
            <w:noProof/>
            <w:webHidden/>
          </w:rPr>
          <w:fldChar w:fldCharType="separate"/>
        </w:r>
        <w:r w:rsidR="00E30A82">
          <w:rPr>
            <w:noProof/>
            <w:webHidden/>
          </w:rPr>
          <w:t>9</w:t>
        </w:r>
        <w:r w:rsidR="00543DC7">
          <w:rPr>
            <w:noProof/>
            <w:webHidden/>
          </w:rPr>
          <w:fldChar w:fldCharType="end"/>
        </w:r>
      </w:hyperlink>
    </w:p>
    <w:p w:rsidR="00543DC7" w:rsidRDefault="004F40BF">
      <w:pPr>
        <w:pStyle w:val="TOC1"/>
        <w:tabs>
          <w:tab w:val="right" w:leader="dot" w:pos="9791"/>
        </w:tabs>
        <w:rPr>
          <w:noProof/>
        </w:rPr>
      </w:pPr>
      <w:hyperlink w:anchor="_Toc527460511" w:history="1">
        <w:r w:rsidR="00543DC7" w:rsidRPr="00495561">
          <w:rPr>
            <w:rStyle w:val="Hyperlink"/>
            <w:noProof/>
          </w:rPr>
          <w:t>11 Discretionary Reduction see Part 3 of Schedule 1 of the default scheme</w:t>
        </w:r>
        <w:r w:rsidR="00543DC7">
          <w:rPr>
            <w:noProof/>
            <w:webHidden/>
          </w:rPr>
          <w:tab/>
        </w:r>
        <w:r w:rsidR="00543DC7">
          <w:rPr>
            <w:noProof/>
            <w:webHidden/>
          </w:rPr>
          <w:fldChar w:fldCharType="begin"/>
        </w:r>
        <w:r w:rsidR="00543DC7">
          <w:rPr>
            <w:noProof/>
            <w:webHidden/>
          </w:rPr>
          <w:instrText xml:space="preserve"> PAGEREF _Toc527460511 \h </w:instrText>
        </w:r>
        <w:r w:rsidR="00543DC7">
          <w:rPr>
            <w:noProof/>
            <w:webHidden/>
          </w:rPr>
        </w:r>
        <w:r w:rsidR="00543DC7">
          <w:rPr>
            <w:noProof/>
            <w:webHidden/>
          </w:rPr>
          <w:fldChar w:fldCharType="separate"/>
        </w:r>
        <w:r w:rsidR="00E30A82">
          <w:rPr>
            <w:noProof/>
            <w:webHidden/>
          </w:rPr>
          <w:t>9</w:t>
        </w:r>
        <w:r w:rsidR="00543DC7">
          <w:rPr>
            <w:noProof/>
            <w:webHidden/>
          </w:rPr>
          <w:fldChar w:fldCharType="end"/>
        </w:r>
      </w:hyperlink>
    </w:p>
    <w:p w:rsidR="00543DC7" w:rsidRDefault="004F40BF">
      <w:pPr>
        <w:pStyle w:val="TOC1"/>
        <w:tabs>
          <w:tab w:val="right" w:leader="dot" w:pos="9791"/>
        </w:tabs>
        <w:rPr>
          <w:noProof/>
        </w:rPr>
      </w:pPr>
      <w:hyperlink w:anchor="_Toc527460512" w:history="1">
        <w:r w:rsidR="00543DC7" w:rsidRPr="00495561">
          <w:rPr>
            <w:rStyle w:val="Hyperlink"/>
            <w:noProof/>
          </w:rPr>
          <w:t>12 Time and manner of granting relief and recoveries / overpayments</w:t>
        </w:r>
        <w:r w:rsidR="00543DC7">
          <w:rPr>
            <w:noProof/>
            <w:webHidden/>
          </w:rPr>
          <w:tab/>
        </w:r>
        <w:r w:rsidR="00543DC7">
          <w:rPr>
            <w:noProof/>
            <w:webHidden/>
          </w:rPr>
          <w:fldChar w:fldCharType="begin"/>
        </w:r>
        <w:r w:rsidR="00543DC7">
          <w:rPr>
            <w:noProof/>
            <w:webHidden/>
          </w:rPr>
          <w:instrText xml:space="preserve"> PAGEREF _Toc527460512 \h </w:instrText>
        </w:r>
        <w:r w:rsidR="00543DC7">
          <w:rPr>
            <w:noProof/>
            <w:webHidden/>
          </w:rPr>
        </w:r>
        <w:r w:rsidR="00543DC7">
          <w:rPr>
            <w:noProof/>
            <w:webHidden/>
          </w:rPr>
          <w:fldChar w:fldCharType="separate"/>
        </w:r>
        <w:r w:rsidR="00E30A82">
          <w:rPr>
            <w:noProof/>
            <w:webHidden/>
          </w:rPr>
          <w:t>10</w:t>
        </w:r>
        <w:r w:rsidR="00543DC7">
          <w:rPr>
            <w:noProof/>
            <w:webHidden/>
          </w:rPr>
          <w:fldChar w:fldCharType="end"/>
        </w:r>
      </w:hyperlink>
    </w:p>
    <w:p w:rsidR="00543DC7" w:rsidRDefault="004F40BF">
      <w:pPr>
        <w:pStyle w:val="TOC1"/>
        <w:tabs>
          <w:tab w:val="right" w:leader="dot" w:pos="9791"/>
        </w:tabs>
        <w:rPr>
          <w:noProof/>
        </w:rPr>
      </w:pPr>
      <w:hyperlink w:anchor="_Toc527460513" w:history="1">
        <w:r w:rsidR="00543DC7" w:rsidRPr="00495561">
          <w:rPr>
            <w:rStyle w:val="Hyperlink"/>
            <w:noProof/>
          </w:rPr>
          <w:t>Appendix A Protected Groups</w:t>
        </w:r>
        <w:r w:rsidR="00543DC7">
          <w:rPr>
            <w:noProof/>
            <w:webHidden/>
          </w:rPr>
          <w:tab/>
        </w:r>
        <w:r w:rsidR="00543DC7">
          <w:rPr>
            <w:noProof/>
            <w:webHidden/>
          </w:rPr>
          <w:fldChar w:fldCharType="begin"/>
        </w:r>
        <w:r w:rsidR="00543DC7">
          <w:rPr>
            <w:noProof/>
            <w:webHidden/>
          </w:rPr>
          <w:instrText xml:space="preserve"> PAGEREF _Toc527460513 \h </w:instrText>
        </w:r>
        <w:r w:rsidR="00543DC7">
          <w:rPr>
            <w:noProof/>
            <w:webHidden/>
          </w:rPr>
        </w:r>
        <w:r w:rsidR="00543DC7">
          <w:rPr>
            <w:noProof/>
            <w:webHidden/>
          </w:rPr>
          <w:fldChar w:fldCharType="separate"/>
        </w:r>
        <w:r w:rsidR="00E30A82">
          <w:rPr>
            <w:noProof/>
            <w:webHidden/>
          </w:rPr>
          <w:t>10</w:t>
        </w:r>
        <w:r w:rsidR="00543DC7">
          <w:rPr>
            <w:noProof/>
            <w:webHidden/>
          </w:rPr>
          <w:fldChar w:fldCharType="end"/>
        </w:r>
      </w:hyperlink>
    </w:p>
    <w:p w:rsidR="00543DC7" w:rsidRDefault="004F40BF">
      <w:pPr>
        <w:pStyle w:val="TOC1"/>
        <w:tabs>
          <w:tab w:val="right" w:leader="dot" w:pos="9791"/>
        </w:tabs>
        <w:rPr>
          <w:noProof/>
        </w:rPr>
      </w:pPr>
      <w:hyperlink w:anchor="_Toc527460514" w:history="1">
        <w:r w:rsidR="00543DC7" w:rsidRPr="00495561">
          <w:rPr>
            <w:rStyle w:val="Hyperlink"/>
            <w:noProof/>
          </w:rPr>
          <w:t>Appendix B Non-Dependant deductions</w:t>
        </w:r>
        <w:r w:rsidR="00543DC7">
          <w:rPr>
            <w:noProof/>
            <w:webHidden/>
          </w:rPr>
          <w:tab/>
        </w:r>
        <w:r w:rsidR="00543DC7">
          <w:rPr>
            <w:noProof/>
            <w:webHidden/>
          </w:rPr>
          <w:fldChar w:fldCharType="begin"/>
        </w:r>
        <w:r w:rsidR="00543DC7">
          <w:rPr>
            <w:noProof/>
            <w:webHidden/>
          </w:rPr>
          <w:instrText xml:space="preserve"> PAGEREF _Toc527460514 \h </w:instrText>
        </w:r>
        <w:r w:rsidR="00543DC7">
          <w:rPr>
            <w:noProof/>
            <w:webHidden/>
          </w:rPr>
        </w:r>
        <w:r w:rsidR="00543DC7">
          <w:rPr>
            <w:noProof/>
            <w:webHidden/>
          </w:rPr>
          <w:fldChar w:fldCharType="separate"/>
        </w:r>
        <w:r w:rsidR="00E30A82">
          <w:rPr>
            <w:noProof/>
            <w:webHidden/>
          </w:rPr>
          <w:t>10</w:t>
        </w:r>
        <w:r w:rsidR="00543DC7">
          <w:rPr>
            <w:noProof/>
            <w:webHidden/>
          </w:rPr>
          <w:fldChar w:fldCharType="end"/>
        </w:r>
      </w:hyperlink>
    </w:p>
    <w:p w:rsidR="00593A4E" w:rsidRDefault="00593A4E" w:rsidP="00866AE2">
      <w:pPr>
        <w:pStyle w:val="Default"/>
        <w:jc w:val="both"/>
      </w:pPr>
      <w:r>
        <w:fldChar w:fldCharType="end"/>
      </w:r>
    </w:p>
    <w:p w:rsidR="00593A4E" w:rsidRDefault="00593A4E" w:rsidP="00866AE2">
      <w:pPr>
        <w:pStyle w:val="Default"/>
        <w:jc w:val="both"/>
      </w:pPr>
      <w:r>
        <w:br w:type="page"/>
      </w:r>
    </w:p>
    <w:p w:rsidR="00CC4C99" w:rsidRPr="00CC4C99" w:rsidRDefault="00CC4C99" w:rsidP="00866AE2">
      <w:pPr>
        <w:pStyle w:val="Default"/>
        <w:jc w:val="both"/>
      </w:pPr>
    </w:p>
    <w:p w:rsidR="005F662D" w:rsidRDefault="0086031C" w:rsidP="00866AE2">
      <w:pPr>
        <w:pStyle w:val="Heading1"/>
        <w:jc w:val="both"/>
      </w:pPr>
      <w:bookmarkStart w:id="0" w:name="_Toc527460500"/>
      <w:r>
        <w:t>Glossary</w:t>
      </w:r>
      <w:bookmarkEnd w:id="0"/>
      <w:r>
        <w:t xml:space="preserve"> </w:t>
      </w:r>
    </w:p>
    <w:p w:rsidR="005F662D" w:rsidRDefault="005F662D" w:rsidP="00866AE2">
      <w:pPr>
        <w:pStyle w:val="Default"/>
        <w:jc w:val="both"/>
        <w:rPr>
          <w:color w:val="auto"/>
        </w:rPr>
      </w:pPr>
    </w:p>
    <w:tbl>
      <w:tblPr>
        <w:tblW w:w="10152" w:type="dxa"/>
        <w:tblBorders>
          <w:top w:val="nil"/>
          <w:left w:val="nil"/>
          <w:bottom w:val="nil"/>
          <w:right w:val="nil"/>
        </w:tblBorders>
        <w:tblLayout w:type="fixed"/>
        <w:tblLook w:val="0000" w:firstRow="0" w:lastRow="0" w:firstColumn="0" w:lastColumn="0" w:noHBand="0" w:noVBand="0"/>
      </w:tblPr>
      <w:tblGrid>
        <w:gridCol w:w="5430"/>
        <w:gridCol w:w="4722"/>
      </w:tblGrid>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1B1E0F" w:rsidP="00866AE2">
            <w:pPr>
              <w:pStyle w:val="Default"/>
              <w:jc w:val="both"/>
            </w:pPr>
            <w:r>
              <w:t>Capital</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4B37E0" w:rsidP="00866AE2">
            <w:pPr>
              <w:pStyle w:val="Default"/>
              <w:jc w:val="both"/>
            </w:pPr>
            <w:r>
              <w:t xml:space="preserve">Money or other assets owned </w:t>
            </w:r>
            <w:r w:rsidR="001B1E0F">
              <w:t xml:space="preserve">or jointly owned </w:t>
            </w:r>
            <w:r>
              <w:t>by a person</w:t>
            </w:r>
            <w:r w:rsidR="001B1E0F">
              <w:t>.</w:t>
            </w:r>
            <w:r>
              <w:t xml:space="preserve"> </w:t>
            </w:r>
          </w:p>
        </w:tc>
      </w:tr>
      <w:tr w:rsidR="00F13CB3"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F13CB3" w:rsidRDefault="00F13CB3" w:rsidP="00866AE2">
            <w:pPr>
              <w:pStyle w:val="Default"/>
              <w:jc w:val="both"/>
            </w:pPr>
            <w:r>
              <w:t>Capital Disregard</w:t>
            </w:r>
          </w:p>
        </w:tc>
        <w:tc>
          <w:tcPr>
            <w:tcW w:w="4722" w:type="dxa"/>
            <w:tcBorders>
              <w:top w:val="single" w:sz="6" w:space="0" w:color="000000"/>
              <w:left w:val="single" w:sz="4" w:space="0" w:color="000000"/>
              <w:bottom w:val="single" w:sz="6" w:space="0" w:color="000000"/>
              <w:right w:val="single" w:sz="4" w:space="0" w:color="000000"/>
            </w:tcBorders>
            <w:vAlign w:val="center"/>
          </w:tcPr>
          <w:p w:rsidR="00F13CB3" w:rsidRDefault="00F13CB3" w:rsidP="00866AE2">
            <w:pPr>
              <w:pStyle w:val="Default"/>
              <w:jc w:val="both"/>
            </w:pPr>
            <w:r>
              <w:t>Windrush Compensation Scheme</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Change of Circumstance </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Any change of circumstances affecting entitlement to CTS, including but not limited to changes to income, liability, household members or residence that would affect entitlement to CTS</w:t>
            </w:r>
            <w:r w:rsidR="000A2900">
              <w:t>.</w:t>
            </w:r>
            <w:r w:rsidRPr="00F40324">
              <w:t xml:space="preserve"> </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Council Tax payer </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Person liable to pay Council Tax on the property</w:t>
            </w:r>
            <w:r w:rsidR="000A2900">
              <w:t>.</w:t>
            </w:r>
            <w:r w:rsidRPr="00F40324">
              <w:t xml:space="preserve"> </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Council Tax Support (CTS) </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0A2900" w:rsidP="00866AE2">
            <w:pPr>
              <w:pStyle w:val="Default"/>
              <w:jc w:val="both"/>
            </w:pPr>
            <w:r>
              <w:t>T</w:t>
            </w:r>
            <w:r w:rsidR="00DB6E8F" w:rsidRPr="00F40324">
              <w:t>he London Borough of Barnet’s (Barnet) scheme</w:t>
            </w:r>
            <w:r>
              <w:t>.</w:t>
            </w:r>
            <w:r w:rsidR="00DB6E8F" w:rsidRPr="00F40324">
              <w:t xml:space="preserve"> </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Default </w:t>
            </w:r>
            <w:r w:rsidR="00174157" w:rsidRPr="00F40324">
              <w:t>scheme</w:t>
            </w:r>
            <w:r w:rsidR="00174157">
              <w:t xml:space="preserve"> - Pensioner</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The default scheme contained in the Council Tax Reduction Schemes (Default Scheme) (England) Regulations 2012 SI 2886/2012</w:t>
            </w:r>
            <w:r w:rsidR="0032607A">
              <w:t xml:space="preserve"> </w:t>
            </w:r>
            <w:r w:rsidRPr="00F40324">
              <w:t xml:space="preserve"> </w:t>
            </w:r>
          </w:p>
        </w:tc>
      </w:tr>
      <w:tr w:rsidR="0032607A" w:rsidTr="008E3027">
        <w:trPr>
          <w:trHeight w:val="840"/>
        </w:trPr>
        <w:tc>
          <w:tcPr>
            <w:tcW w:w="5430" w:type="dxa"/>
            <w:tcBorders>
              <w:top w:val="single" w:sz="6" w:space="0" w:color="000000"/>
              <w:left w:val="single" w:sz="4" w:space="0" w:color="000000"/>
              <w:bottom w:val="single" w:sz="6" w:space="0" w:color="000000"/>
              <w:right w:val="single" w:sz="4" w:space="0" w:color="000000"/>
            </w:tcBorders>
            <w:shd w:val="clear" w:color="auto" w:fill="auto"/>
            <w:vAlign w:val="center"/>
          </w:tcPr>
          <w:p w:rsidR="0032607A" w:rsidRPr="00F40324" w:rsidRDefault="0032607A" w:rsidP="00866AE2">
            <w:pPr>
              <w:pStyle w:val="Default"/>
              <w:jc w:val="both"/>
            </w:pPr>
            <w:r>
              <w:t>Banded Scheme</w:t>
            </w:r>
            <w:r w:rsidR="00B05456">
              <w:t xml:space="preserve"> - Working Age</w:t>
            </w:r>
          </w:p>
        </w:tc>
        <w:tc>
          <w:tcPr>
            <w:tcW w:w="4722" w:type="dxa"/>
            <w:tcBorders>
              <w:top w:val="single" w:sz="6" w:space="0" w:color="000000"/>
              <w:left w:val="single" w:sz="4" w:space="0" w:color="000000"/>
              <w:bottom w:val="single" w:sz="6" w:space="0" w:color="000000"/>
              <w:right w:val="single" w:sz="4" w:space="0" w:color="000000"/>
            </w:tcBorders>
            <w:shd w:val="clear" w:color="auto" w:fill="auto"/>
            <w:vAlign w:val="center"/>
          </w:tcPr>
          <w:p w:rsidR="0032607A" w:rsidRPr="00F40324" w:rsidRDefault="00B05456" w:rsidP="00866AE2">
            <w:pPr>
              <w:pStyle w:val="Default"/>
              <w:jc w:val="both"/>
            </w:pPr>
            <w:r>
              <w:t>Council Tax Support for Working Age customers will be calculated against an income banded scheme and will no longer be in line with the default scheme.</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Dispute </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Where the CTS recipient disagrees with the amount of CTS awarded or the refusal to award CTS applicant</w:t>
            </w:r>
            <w:r w:rsidR="000A2900">
              <w:t>.</w:t>
            </w:r>
            <w:r w:rsidRPr="00F40324">
              <w:t xml:space="preserve"> </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Disregards </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Deductions allowed against the income</w:t>
            </w:r>
            <w:r w:rsidR="000A2900">
              <w:t>.</w:t>
            </w:r>
          </w:p>
        </w:tc>
      </w:tr>
      <w:tr w:rsidR="000A3F53"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0A3F53" w:rsidRPr="00F40324" w:rsidRDefault="000A3F53" w:rsidP="00866AE2">
            <w:pPr>
              <w:pStyle w:val="Default"/>
              <w:jc w:val="both"/>
            </w:pPr>
            <w:r>
              <w:t>Earned Income</w:t>
            </w:r>
          </w:p>
        </w:tc>
        <w:tc>
          <w:tcPr>
            <w:tcW w:w="4722" w:type="dxa"/>
            <w:tcBorders>
              <w:top w:val="single" w:sz="6" w:space="0" w:color="000000"/>
              <w:left w:val="single" w:sz="4" w:space="0" w:color="000000"/>
              <w:bottom w:val="single" w:sz="6" w:space="0" w:color="000000"/>
              <w:right w:val="single" w:sz="4" w:space="0" w:color="000000"/>
            </w:tcBorders>
            <w:vAlign w:val="center"/>
          </w:tcPr>
          <w:p w:rsidR="000A3F53" w:rsidRPr="00F40324" w:rsidRDefault="000A3F53" w:rsidP="00866AE2">
            <w:pPr>
              <w:pStyle w:val="Default"/>
              <w:jc w:val="both"/>
            </w:pPr>
            <w:r>
              <w:t>Has the meaning given with paragraphs 18</w:t>
            </w:r>
            <w:r w:rsidR="00866AE2">
              <w:t xml:space="preserve"> </w:t>
            </w:r>
            <w:r>
              <w:t xml:space="preserve">and 21 of Schedule 1 of the Prescribed Requirements </w:t>
            </w:r>
            <w:proofErr w:type="gramStart"/>
            <w:r>
              <w:t>Regulations.</w:t>
            </w:r>
            <w:proofErr w:type="gramEnd"/>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Excess Income </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The amount the </w:t>
            </w:r>
            <w:r w:rsidR="000A2900" w:rsidRPr="00F40324">
              <w:t>taxpayer’s</w:t>
            </w:r>
            <w:r w:rsidRPr="00F40324">
              <w:t xml:space="preserve"> weekly income exceeds their applicable amount</w:t>
            </w:r>
            <w:r w:rsidR="000539AE">
              <w:t xml:space="preserve"> for pensioner claims.</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Extended Reduction </w:t>
            </w:r>
            <w:r w:rsidR="008E6EBD">
              <w:t>- Pensioner</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An amount awarded for a period after the applicant or their partner has started work or increased their hours of work and is therefore no longer entitled to a qualifying benefit or qualifying contributory benefit</w:t>
            </w:r>
            <w:r w:rsidR="000A2900">
              <w:t>.</w:t>
            </w:r>
            <w:r w:rsidRPr="00F40324">
              <w:t xml:space="preserve"> </w:t>
            </w:r>
          </w:p>
        </w:tc>
      </w:tr>
      <w:tr w:rsidR="00DB6E8F"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 xml:space="preserve">Income </w:t>
            </w:r>
            <w:r w:rsidR="00B05456">
              <w:t>- Pensioner</w:t>
            </w:r>
          </w:p>
        </w:tc>
        <w:tc>
          <w:tcPr>
            <w:tcW w:w="4722" w:type="dxa"/>
            <w:tcBorders>
              <w:top w:val="single" w:sz="6" w:space="0" w:color="000000"/>
              <w:left w:val="single" w:sz="4" w:space="0" w:color="000000"/>
              <w:bottom w:val="single" w:sz="6" w:space="0" w:color="000000"/>
              <w:right w:val="single" w:sz="4" w:space="0" w:color="000000"/>
            </w:tcBorders>
            <w:vAlign w:val="center"/>
          </w:tcPr>
          <w:p w:rsidR="00DB6E8F" w:rsidRPr="00F40324" w:rsidRDefault="00DB6E8F" w:rsidP="00866AE2">
            <w:pPr>
              <w:pStyle w:val="Default"/>
              <w:jc w:val="both"/>
            </w:pPr>
            <w:r w:rsidRPr="00F40324">
              <w:t>Income from all sources not limited to earnings. Some income will be wholly or partly disregarded</w:t>
            </w:r>
            <w:r w:rsidR="000A2900">
              <w:t>.</w:t>
            </w:r>
            <w:r w:rsidRPr="00F40324">
              <w:t xml:space="preserve"> </w:t>
            </w:r>
          </w:p>
        </w:tc>
      </w:tr>
      <w:tr w:rsidR="00B05456"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05456" w:rsidRPr="00F40324" w:rsidRDefault="00B05456" w:rsidP="00866AE2">
            <w:pPr>
              <w:pStyle w:val="Default"/>
              <w:jc w:val="both"/>
            </w:pPr>
            <w:r>
              <w:t>Income – Working Age</w:t>
            </w:r>
          </w:p>
        </w:tc>
        <w:tc>
          <w:tcPr>
            <w:tcW w:w="4722" w:type="dxa"/>
            <w:tcBorders>
              <w:top w:val="single" w:sz="6" w:space="0" w:color="000000"/>
              <w:left w:val="single" w:sz="4" w:space="0" w:color="000000"/>
              <w:bottom w:val="single" w:sz="6" w:space="0" w:color="000000"/>
              <w:right w:val="single" w:sz="4" w:space="0" w:color="000000"/>
            </w:tcBorders>
            <w:vAlign w:val="center"/>
          </w:tcPr>
          <w:p w:rsidR="00B05456" w:rsidRPr="00F40324" w:rsidRDefault="00B05456" w:rsidP="00866AE2">
            <w:pPr>
              <w:pStyle w:val="Default"/>
              <w:jc w:val="both"/>
            </w:pPr>
            <w:r>
              <w:t>Council Tax Support will be calculated solely on earnings to set the appropriate band.</w:t>
            </w:r>
          </w:p>
        </w:tc>
      </w:tr>
      <w:tr w:rsidR="00F13CB3"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F13CB3" w:rsidRDefault="00F13CB3" w:rsidP="00866AE2">
            <w:pPr>
              <w:pStyle w:val="Default"/>
              <w:jc w:val="both"/>
            </w:pPr>
            <w:r>
              <w:t>Local Authority Error</w:t>
            </w:r>
          </w:p>
        </w:tc>
        <w:tc>
          <w:tcPr>
            <w:tcW w:w="4722" w:type="dxa"/>
            <w:tcBorders>
              <w:top w:val="single" w:sz="6" w:space="0" w:color="000000"/>
              <w:left w:val="single" w:sz="4" w:space="0" w:color="000000"/>
              <w:bottom w:val="single" w:sz="6" w:space="0" w:color="000000"/>
              <w:right w:val="single" w:sz="4" w:space="0" w:color="000000"/>
            </w:tcBorders>
            <w:vAlign w:val="center"/>
          </w:tcPr>
          <w:p w:rsidR="00F13CB3" w:rsidRDefault="005C2F50" w:rsidP="00866AE2">
            <w:pPr>
              <w:pStyle w:val="Default"/>
              <w:jc w:val="both"/>
            </w:pPr>
            <w:r>
              <w:t>Change following a Local Authority or official error</w:t>
            </w:r>
          </w:p>
        </w:tc>
      </w:tr>
      <w:tr w:rsidR="00BC7386"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Maximum liability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The maximum liability is the maximum band after any Council Tax discounts or band reductions awarded under the Local Government Finance Act 1992. For </w:t>
            </w:r>
            <w:r w:rsidR="00D0141C" w:rsidRPr="00F40324">
              <w:t>example,</w:t>
            </w:r>
            <w:r w:rsidR="00D0141C">
              <w:t xml:space="preserve"> s</w:t>
            </w:r>
            <w:r w:rsidRPr="00F40324">
              <w:t>ingle person discounts or band reductions due to disability</w:t>
            </w:r>
            <w:r>
              <w:t>.</w:t>
            </w:r>
            <w:r w:rsidRPr="00F40324">
              <w:t xml:space="preserve"> </w:t>
            </w:r>
          </w:p>
        </w:tc>
      </w:tr>
      <w:tr w:rsidR="00CA08B4"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CA08B4" w:rsidRDefault="00CA08B4" w:rsidP="00866AE2">
            <w:pPr>
              <w:pStyle w:val="Default"/>
              <w:jc w:val="both"/>
            </w:pPr>
            <w:r>
              <w:t>Minimum Income Floor</w:t>
            </w:r>
          </w:p>
        </w:tc>
        <w:tc>
          <w:tcPr>
            <w:tcW w:w="4722" w:type="dxa"/>
            <w:tcBorders>
              <w:top w:val="single" w:sz="6" w:space="0" w:color="000000"/>
              <w:left w:val="single" w:sz="4" w:space="0" w:color="000000"/>
              <w:bottom w:val="single" w:sz="6" w:space="0" w:color="000000"/>
              <w:right w:val="single" w:sz="4" w:space="0" w:color="000000"/>
            </w:tcBorders>
            <w:vAlign w:val="center"/>
          </w:tcPr>
          <w:p w:rsidR="00CA08B4" w:rsidRPr="001B1E0F" w:rsidRDefault="004B2754" w:rsidP="00866AE2">
            <w:pPr>
              <w:pStyle w:val="Default"/>
              <w:jc w:val="both"/>
              <w:rPr>
                <w:color w:val="auto"/>
                <w:shd w:val="clear" w:color="auto" w:fill="FFFFFF"/>
              </w:rPr>
            </w:pPr>
            <w:r>
              <w:rPr>
                <w:sz w:val="23"/>
                <w:szCs w:val="23"/>
              </w:rPr>
              <w:t>A</w:t>
            </w:r>
            <w:r w:rsidR="00992F4B">
              <w:rPr>
                <w:sz w:val="23"/>
                <w:szCs w:val="23"/>
              </w:rPr>
              <w:t xml:space="preserve"> self-employed person declaring less income than the national living wage will have their Council Tax Support calculated on a notional income equal to that of the national living wage.</w:t>
            </w:r>
          </w:p>
        </w:tc>
      </w:tr>
      <w:tr w:rsidR="00B973B1"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973B1" w:rsidRPr="00F40324" w:rsidRDefault="00B973B1" w:rsidP="00866AE2">
            <w:pPr>
              <w:pStyle w:val="Default"/>
              <w:jc w:val="both"/>
            </w:pPr>
            <w:r>
              <w:t>Non-Dependant</w:t>
            </w:r>
          </w:p>
        </w:tc>
        <w:tc>
          <w:tcPr>
            <w:tcW w:w="4722" w:type="dxa"/>
            <w:tcBorders>
              <w:top w:val="single" w:sz="6" w:space="0" w:color="000000"/>
              <w:left w:val="single" w:sz="4" w:space="0" w:color="000000"/>
              <w:bottom w:val="single" w:sz="6" w:space="0" w:color="000000"/>
              <w:right w:val="single" w:sz="4" w:space="0" w:color="000000"/>
            </w:tcBorders>
            <w:vAlign w:val="center"/>
          </w:tcPr>
          <w:p w:rsidR="00B973B1" w:rsidRPr="001B1E0F" w:rsidRDefault="00B973B1" w:rsidP="00866AE2">
            <w:pPr>
              <w:pStyle w:val="Default"/>
              <w:jc w:val="both"/>
              <w:rPr>
                <w:color w:val="auto"/>
              </w:rPr>
            </w:pPr>
            <w:r w:rsidRPr="001B1E0F">
              <w:rPr>
                <w:color w:val="auto"/>
                <w:shd w:val="clear" w:color="auto" w:fill="FFFFFF"/>
              </w:rPr>
              <w:t>Anyone who lives with you who is over 18 and is not your partner, a dependent child, joint tenant or sub-tenant.</w:t>
            </w:r>
          </w:p>
        </w:tc>
      </w:tr>
      <w:tr w:rsidR="00B973B1"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973B1" w:rsidRDefault="00B973B1" w:rsidP="00866AE2">
            <w:pPr>
              <w:pStyle w:val="Default"/>
              <w:jc w:val="both"/>
            </w:pPr>
            <w:r>
              <w:t>Non-Dependant Deduction</w:t>
            </w:r>
          </w:p>
        </w:tc>
        <w:tc>
          <w:tcPr>
            <w:tcW w:w="4722" w:type="dxa"/>
            <w:tcBorders>
              <w:top w:val="single" w:sz="6" w:space="0" w:color="000000"/>
              <w:left w:val="single" w:sz="4" w:space="0" w:color="000000"/>
              <w:bottom w:val="single" w:sz="6" w:space="0" w:color="000000"/>
              <w:right w:val="single" w:sz="4" w:space="0" w:color="000000"/>
            </w:tcBorders>
            <w:vAlign w:val="center"/>
          </w:tcPr>
          <w:p w:rsidR="00B973B1" w:rsidRPr="001B1E0F" w:rsidRDefault="00B973B1" w:rsidP="00866AE2">
            <w:pPr>
              <w:pStyle w:val="Default"/>
              <w:jc w:val="both"/>
              <w:rPr>
                <w:color w:val="auto"/>
                <w:shd w:val="clear" w:color="auto" w:fill="FFFFFF"/>
              </w:rPr>
            </w:pPr>
            <w:r w:rsidRPr="001B1E0F">
              <w:rPr>
                <w:color w:val="auto"/>
                <w:shd w:val="clear" w:color="auto" w:fill="FFFFFF"/>
              </w:rPr>
              <w:t>An amount deducted from your entitlement depending on the Non-Dependants circumstances.</w:t>
            </w:r>
          </w:p>
        </w:tc>
      </w:tr>
      <w:tr w:rsidR="00BC7386"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Overpayment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Any amount of CTS </w:t>
            </w:r>
            <w:r>
              <w:t>awarded</w:t>
            </w:r>
            <w:r w:rsidRPr="00F40324">
              <w:t xml:space="preserve"> to which the recipient is not entitled</w:t>
            </w:r>
            <w:r>
              <w:t>.</w:t>
            </w:r>
            <w:r w:rsidRPr="00F40324">
              <w:t xml:space="preserve"> </w:t>
            </w:r>
          </w:p>
        </w:tc>
      </w:tr>
      <w:tr w:rsidR="00BC7386"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Pension Age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The age at which a person is eligible to claim State Pension Credit</w:t>
            </w:r>
            <w:r>
              <w:t>.</w:t>
            </w:r>
            <w:r w:rsidRPr="00F40324">
              <w:t xml:space="preserve"> </w:t>
            </w:r>
            <w:r>
              <w:t xml:space="preserve"> </w:t>
            </w:r>
            <w:r w:rsidRPr="00F40324">
              <w:t>Please note the age is changing to reflect the equalisation of pension ages between men and woman and the planned increase in retirement age</w:t>
            </w:r>
            <w:r>
              <w:t>.</w:t>
            </w:r>
            <w:r w:rsidRPr="00F40324">
              <w:t xml:space="preserve"> </w:t>
            </w:r>
          </w:p>
        </w:tc>
      </w:tr>
      <w:tr w:rsidR="00BC7386"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Premium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An additional element forming part of the applicable amount relating to the individual or couple</w:t>
            </w:r>
            <w:r>
              <w:t>’s circumstances.</w:t>
            </w:r>
            <w:r w:rsidRPr="00F40324">
              <w:t xml:space="preserve"> </w:t>
            </w:r>
            <w:r>
              <w:t>For working age claimants there will be no applicable amounts as an income banded scheme calculates entitlement by categorising income against the correct band.</w:t>
            </w:r>
          </w:p>
        </w:tc>
      </w:tr>
      <w:tr w:rsidR="00BC7386" w:rsidTr="000A2900">
        <w:trPr>
          <w:trHeight w:val="840"/>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866AE2" w:rsidP="00866AE2">
            <w:pPr>
              <w:pStyle w:val="Default"/>
              <w:jc w:val="both"/>
            </w:pPr>
            <w:r>
              <w:t>Prescribed Requirements R</w:t>
            </w:r>
            <w:r w:rsidR="00BC7386" w:rsidRPr="00F40324">
              <w:t xml:space="preserve">egulations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Council Tax Reduction Schemes (Prescribed Requirements) (England) Regulations 2012 SI 2885 2012</w:t>
            </w:r>
            <w:r>
              <w:t>.</w:t>
            </w:r>
            <w:r w:rsidRPr="00F40324">
              <w:t xml:space="preserve"> </w:t>
            </w:r>
          </w:p>
        </w:tc>
      </w:tr>
      <w:tr w:rsidR="00BC7386" w:rsidTr="000A2900">
        <w:trPr>
          <w:trHeight w:val="418"/>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Protected group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Groups listed in Appendix </w:t>
            </w:r>
            <w:r w:rsidR="00457021">
              <w:t>A</w:t>
            </w:r>
            <w:r w:rsidRPr="00F40324">
              <w:t xml:space="preserve"> to which the maximum award does not apply</w:t>
            </w:r>
            <w:r>
              <w:t>.</w:t>
            </w:r>
            <w:r w:rsidRPr="00F40324">
              <w:t xml:space="preserve"> </w:t>
            </w:r>
          </w:p>
        </w:tc>
      </w:tr>
      <w:tr w:rsidR="00BC7386" w:rsidTr="000A2900">
        <w:trPr>
          <w:trHeight w:val="556"/>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Taper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The rate at which CTS is withdrawn if the income including tariff income is greater than the applicable amount or living allowance</w:t>
            </w:r>
            <w:r>
              <w:t>.</w:t>
            </w:r>
            <w:r w:rsidRPr="00F40324">
              <w:t xml:space="preserve"> </w:t>
            </w:r>
            <w:r>
              <w:t xml:space="preserve">Not applicable to working age customers who will have their CTS calculated under a banded income scheme. </w:t>
            </w:r>
          </w:p>
        </w:tc>
      </w:tr>
      <w:tr w:rsidR="00BC7386" w:rsidTr="000A2900">
        <w:trPr>
          <w:trHeight w:val="281"/>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Tariff income </w:t>
            </w:r>
            <w:r>
              <w:t>– Pensioners (Default)</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Income generated by savings and capital between th</w:t>
            </w:r>
            <w:r>
              <w:t>e lower and upper capital thresholds.</w:t>
            </w:r>
          </w:p>
        </w:tc>
      </w:tr>
      <w:tr w:rsidR="00BC7386" w:rsidTr="00174157">
        <w:trPr>
          <w:trHeight w:val="418"/>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Work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t>Employed or self-employed.</w:t>
            </w:r>
          </w:p>
        </w:tc>
      </w:tr>
      <w:tr w:rsidR="00BC7386" w:rsidTr="00174157">
        <w:trPr>
          <w:trHeight w:val="418"/>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8E3027" w:rsidRDefault="00BC7386" w:rsidP="00866AE2">
            <w:pPr>
              <w:pStyle w:val="Default"/>
              <w:jc w:val="both"/>
              <w:rPr>
                <w:color w:val="FFFFFF" w:themeColor="background1"/>
              </w:rPr>
            </w:pPr>
            <w:r w:rsidRPr="00F40324">
              <w:t xml:space="preserve">Working Age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8E3027" w:rsidRDefault="00BC7386" w:rsidP="00866AE2">
            <w:pPr>
              <w:pStyle w:val="Default"/>
              <w:jc w:val="both"/>
              <w:rPr>
                <w:color w:val="FFFFFF" w:themeColor="background1"/>
              </w:rPr>
            </w:pPr>
            <w:r w:rsidRPr="00F40324">
              <w:t>The age below which a person or couple is eligible to claim State Pension Credit</w:t>
            </w:r>
            <w:r>
              <w:t>.</w:t>
            </w:r>
            <w:r w:rsidRPr="00F40324">
              <w:t xml:space="preserve"> </w:t>
            </w:r>
          </w:p>
        </w:tc>
      </w:tr>
      <w:tr w:rsidR="00BC7386" w:rsidTr="000A2900">
        <w:trPr>
          <w:trHeight w:val="696"/>
        </w:trPr>
        <w:tc>
          <w:tcPr>
            <w:tcW w:w="5430"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 xml:space="preserve">1992 Act </w:t>
            </w:r>
          </w:p>
        </w:tc>
        <w:tc>
          <w:tcPr>
            <w:tcW w:w="4722" w:type="dxa"/>
            <w:tcBorders>
              <w:top w:val="single" w:sz="6" w:space="0" w:color="000000"/>
              <w:left w:val="single" w:sz="4" w:space="0" w:color="000000"/>
              <w:bottom w:val="single" w:sz="6" w:space="0" w:color="000000"/>
              <w:right w:val="single" w:sz="4" w:space="0" w:color="000000"/>
            </w:tcBorders>
            <w:vAlign w:val="center"/>
          </w:tcPr>
          <w:p w:rsidR="00BC7386" w:rsidRPr="00F40324" w:rsidRDefault="00BC7386" w:rsidP="00866AE2">
            <w:pPr>
              <w:pStyle w:val="Default"/>
              <w:jc w:val="both"/>
            </w:pPr>
            <w:r w:rsidRPr="00F40324">
              <w:t>Local Government Finance Act 1992</w:t>
            </w:r>
            <w:r>
              <w:t>.</w:t>
            </w:r>
            <w:r w:rsidRPr="00F40324">
              <w:t xml:space="preserve"> </w:t>
            </w:r>
          </w:p>
        </w:tc>
      </w:tr>
    </w:tbl>
    <w:p w:rsidR="00CD2C9E" w:rsidRDefault="00DB6E8F" w:rsidP="00866AE2">
      <w:pPr>
        <w:pStyle w:val="Default"/>
        <w:jc w:val="both"/>
        <w:rPr>
          <w:noProof/>
        </w:rPr>
      </w:pPr>
      <w:r>
        <w:rPr>
          <w:noProof/>
        </w:rPr>
        <w:t xml:space="preserve"> </w:t>
      </w:r>
    </w:p>
    <w:p w:rsidR="00CD2C9E" w:rsidRDefault="00CD2C9E" w:rsidP="00866AE2">
      <w:pPr>
        <w:pStyle w:val="Default"/>
        <w:jc w:val="both"/>
        <w:rPr>
          <w:noProof/>
        </w:rPr>
      </w:pPr>
      <w:r>
        <w:rPr>
          <w:noProof/>
        </w:rPr>
        <w:br w:type="page"/>
      </w:r>
    </w:p>
    <w:p w:rsidR="005F662D" w:rsidRDefault="0086031C" w:rsidP="00866AE2">
      <w:pPr>
        <w:pStyle w:val="Heading1"/>
        <w:jc w:val="both"/>
      </w:pPr>
      <w:bookmarkStart w:id="1" w:name="_Toc527460501"/>
      <w:r>
        <w:t>1 Introduction</w:t>
      </w:r>
      <w:bookmarkEnd w:id="1"/>
      <w:r>
        <w:t xml:space="preserve"> </w:t>
      </w:r>
    </w:p>
    <w:p w:rsidR="00866AE2" w:rsidRDefault="00866AE2" w:rsidP="00866AE2">
      <w:pPr>
        <w:pStyle w:val="CM5"/>
        <w:jc w:val="both"/>
      </w:pPr>
    </w:p>
    <w:p w:rsidR="005F662D" w:rsidRDefault="0086031C" w:rsidP="006657AC">
      <w:pPr>
        <w:pStyle w:val="CM5"/>
        <w:jc w:val="both"/>
      </w:pPr>
      <w:r w:rsidRPr="00F40324">
        <w:t xml:space="preserve">The London Borough of Barnet’s </w:t>
      </w:r>
      <w:r w:rsidR="001E5D99">
        <w:t xml:space="preserve">(“LBB”) </w:t>
      </w:r>
      <w:r w:rsidRPr="00F40324">
        <w:t>Council Tax Reduction Scheme is based on the default scheme and prescribed requirements regulations</w:t>
      </w:r>
      <w:r w:rsidR="000539AE">
        <w:t xml:space="preserve"> </w:t>
      </w:r>
      <w:r w:rsidR="000539AE" w:rsidRPr="008E3027">
        <w:rPr>
          <w:b/>
        </w:rPr>
        <w:t>for pension age customers</w:t>
      </w:r>
      <w:r w:rsidRPr="00F40324">
        <w:t>, except where the contrary is set out within the scheme.  Definitions and detail from the regulations</w:t>
      </w:r>
      <w:r w:rsidR="00174157">
        <w:t xml:space="preserve"> </w:t>
      </w:r>
      <w:r w:rsidRPr="00F40324">
        <w:t xml:space="preserve">are not replicated in this document and the detail can be found by following the links below. </w:t>
      </w:r>
    </w:p>
    <w:p w:rsidR="002762D8" w:rsidRPr="002762D8" w:rsidRDefault="002762D8" w:rsidP="002762D8">
      <w:pPr>
        <w:pStyle w:val="Default"/>
      </w:pPr>
    </w:p>
    <w:p w:rsidR="005F662D" w:rsidRPr="00F40324" w:rsidRDefault="004F40BF" w:rsidP="00866AE2">
      <w:pPr>
        <w:pStyle w:val="CM26"/>
        <w:spacing w:after="275" w:line="276" w:lineRule="atLeast"/>
        <w:ind w:right="265"/>
        <w:jc w:val="both"/>
      </w:pPr>
      <w:hyperlink r:id="rId9" w:history="1">
        <w:r w:rsidR="0086031C" w:rsidRPr="00F40324">
          <w:rPr>
            <w:color w:val="0000FF"/>
            <w:u w:val="single"/>
          </w:rPr>
          <w:t xml:space="preserve">Council Tax Reduction Schemes (Prescribed Requirements) (England) Regulations 2012 SI </w:t>
        </w:r>
      </w:hyperlink>
      <w:hyperlink r:id="rId10" w:history="1">
        <w:r w:rsidR="0086031C" w:rsidRPr="00F40324">
          <w:rPr>
            <w:color w:val="0000FF"/>
            <w:u w:val="single"/>
          </w:rPr>
          <w:t xml:space="preserve">2885/2012 </w:t>
        </w:r>
      </w:hyperlink>
      <w:r w:rsidR="004B37E0">
        <w:rPr>
          <w:color w:val="0000FF"/>
          <w:u w:val="single"/>
        </w:rPr>
        <w:t>(as amended)</w:t>
      </w:r>
    </w:p>
    <w:p w:rsidR="005F662D" w:rsidRPr="00F40324" w:rsidRDefault="004F40BF" w:rsidP="00866AE2">
      <w:pPr>
        <w:pStyle w:val="CM26"/>
        <w:spacing w:after="275" w:line="276" w:lineRule="atLeast"/>
        <w:jc w:val="both"/>
      </w:pPr>
      <w:hyperlink r:id="rId11" w:history="1">
        <w:r w:rsidR="0086031C" w:rsidRPr="00F40324">
          <w:rPr>
            <w:color w:val="0000FF"/>
            <w:u w:val="single"/>
          </w:rPr>
          <w:t xml:space="preserve">Council Tax Reduction Schemes (Default Scheme) (England) Regulations 2012 SI 2886/2012 </w:t>
        </w:r>
      </w:hyperlink>
      <w:r w:rsidR="004B37E0">
        <w:rPr>
          <w:color w:val="0000FF"/>
          <w:u w:val="single"/>
        </w:rPr>
        <w:t>(as amended)</w:t>
      </w:r>
    </w:p>
    <w:p w:rsidR="005F662D" w:rsidRPr="00F40324" w:rsidRDefault="005F662D" w:rsidP="00866AE2">
      <w:pPr>
        <w:pStyle w:val="Default"/>
        <w:jc w:val="both"/>
        <w:rPr>
          <w:color w:val="auto"/>
        </w:rPr>
      </w:pPr>
    </w:p>
    <w:p w:rsidR="0002310F" w:rsidRDefault="0086031C" w:rsidP="00866AE2">
      <w:pPr>
        <w:pStyle w:val="CM5"/>
        <w:jc w:val="both"/>
      </w:pPr>
      <w:r w:rsidRPr="00F40324">
        <w:t xml:space="preserve">The scheme for </w:t>
      </w:r>
      <w:r w:rsidRPr="008E3027">
        <w:rPr>
          <w:b/>
        </w:rPr>
        <w:t xml:space="preserve">working age </w:t>
      </w:r>
      <w:r w:rsidR="003169FC" w:rsidRPr="008E3027">
        <w:rPr>
          <w:b/>
        </w:rPr>
        <w:t>applicants</w:t>
      </w:r>
      <w:r w:rsidR="000539AE">
        <w:t xml:space="preserve"> will no longer be based on the default scheme </w:t>
      </w:r>
      <w:r w:rsidR="00A47C3E">
        <w:t>and will calculate the CTS award using an income banded scheme.  It</w:t>
      </w:r>
      <w:r w:rsidR="003169FC">
        <w:t xml:space="preserve"> </w:t>
      </w:r>
      <w:r w:rsidRPr="00F40324">
        <w:t>has the following features</w:t>
      </w:r>
      <w:r w:rsidR="00D77595">
        <w:t>:</w:t>
      </w:r>
      <w:r w:rsidRPr="00F40324">
        <w:t xml:space="preserve"> </w:t>
      </w:r>
    </w:p>
    <w:p w:rsidR="00174157" w:rsidRPr="00174157" w:rsidRDefault="00174157" w:rsidP="00866AE2">
      <w:pPr>
        <w:pStyle w:val="Default"/>
        <w:jc w:val="both"/>
      </w:pPr>
    </w:p>
    <w:p w:rsidR="00A47C3E" w:rsidRDefault="00A47C3E" w:rsidP="00866AE2">
      <w:pPr>
        <w:pStyle w:val="CM5"/>
        <w:numPr>
          <w:ilvl w:val="0"/>
          <w:numId w:val="6"/>
        </w:numPr>
        <w:jc w:val="both"/>
      </w:pPr>
      <w:r>
        <w:t xml:space="preserve">The number of calculations following changes in Universal Credit will be </w:t>
      </w:r>
      <w:r w:rsidR="008E3027">
        <w:t>greatly reduced</w:t>
      </w:r>
      <w:r>
        <w:t xml:space="preserve"> under the banded scheme.  Only changes that alter the banding group will be applied.  This reduces the regular monthly changes</w:t>
      </w:r>
      <w:r w:rsidR="003F2054">
        <w:t xml:space="preserve"> brought about by Universal Credit</w:t>
      </w:r>
      <w:r>
        <w:t xml:space="preserve"> </w:t>
      </w:r>
      <w:r w:rsidR="003F2054">
        <w:t xml:space="preserve">therefore reducing </w:t>
      </w:r>
      <w:r w:rsidR="008E3027">
        <w:t>the possibility of monthly rebilling</w:t>
      </w:r>
      <w:r>
        <w:t>.</w:t>
      </w:r>
    </w:p>
    <w:p w:rsidR="00866AE2" w:rsidRDefault="00866AE2" w:rsidP="00866AE2">
      <w:pPr>
        <w:pStyle w:val="CM5"/>
        <w:ind w:left="720"/>
        <w:jc w:val="both"/>
      </w:pPr>
    </w:p>
    <w:p w:rsidR="008E3027" w:rsidRDefault="006607B8" w:rsidP="00866AE2">
      <w:pPr>
        <w:pStyle w:val="CM5"/>
        <w:numPr>
          <w:ilvl w:val="0"/>
          <w:numId w:val="6"/>
        </w:numPr>
        <w:jc w:val="both"/>
      </w:pPr>
      <w:r>
        <w:t xml:space="preserve">Only earned income will be used in the calculation within the banded </w:t>
      </w:r>
      <w:r w:rsidR="005345DB">
        <w:t>scheme.</w:t>
      </w:r>
      <w:r>
        <w:t xml:space="preserve">  All other income will be disregarded.  </w:t>
      </w:r>
      <w:r w:rsidR="005345DB">
        <w:t>I.e.</w:t>
      </w:r>
      <w:r>
        <w:t xml:space="preserve"> </w:t>
      </w:r>
      <w:r w:rsidR="005345DB">
        <w:t>D</w:t>
      </w:r>
      <w:r w:rsidR="0086031C" w:rsidRPr="00F40324">
        <w:t>isability Living Allowance, War Pensions and Child Benefit will continue to be disregarded in the calculation</w:t>
      </w:r>
      <w:r w:rsidR="00D77595">
        <w:t>.</w:t>
      </w:r>
      <w:r w:rsidR="0086031C" w:rsidRPr="00F40324">
        <w:t xml:space="preserve"> </w:t>
      </w:r>
    </w:p>
    <w:p w:rsidR="00866AE2" w:rsidRDefault="00866AE2" w:rsidP="002762D8">
      <w:pPr>
        <w:pStyle w:val="NoSpacing"/>
      </w:pPr>
    </w:p>
    <w:p w:rsidR="002F5115" w:rsidRDefault="002F5115" w:rsidP="002762D8">
      <w:pPr>
        <w:pStyle w:val="NoSpacing"/>
        <w:numPr>
          <w:ilvl w:val="0"/>
          <w:numId w:val="6"/>
        </w:numPr>
        <w:rPr>
          <w:rFonts w:ascii="Arial" w:hAnsi="Arial" w:cs="Arial"/>
          <w:sz w:val="24"/>
          <w:szCs w:val="24"/>
        </w:rPr>
      </w:pPr>
      <w:r w:rsidRPr="002762D8">
        <w:rPr>
          <w:rFonts w:ascii="Arial" w:hAnsi="Arial" w:cs="Arial"/>
          <w:sz w:val="24"/>
          <w:szCs w:val="24"/>
        </w:rPr>
        <w:t xml:space="preserve">For working age claims, the weekly liability will be reduced by the </w:t>
      </w:r>
      <w:r w:rsidR="00D77595" w:rsidRPr="002762D8">
        <w:rPr>
          <w:rFonts w:ascii="Arial" w:hAnsi="Arial" w:cs="Arial"/>
          <w:sz w:val="24"/>
          <w:szCs w:val="24"/>
        </w:rPr>
        <w:t>N</w:t>
      </w:r>
      <w:r w:rsidRPr="002762D8">
        <w:rPr>
          <w:rFonts w:ascii="Arial" w:hAnsi="Arial" w:cs="Arial"/>
          <w:sz w:val="24"/>
          <w:szCs w:val="24"/>
        </w:rPr>
        <w:t>on</w:t>
      </w:r>
      <w:r w:rsidR="00D77595" w:rsidRPr="002762D8">
        <w:rPr>
          <w:rFonts w:ascii="Arial" w:hAnsi="Arial" w:cs="Arial"/>
          <w:sz w:val="24"/>
          <w:szCs w:val="24"/>
        </w:rPr>
        <w:t>-D</w:t>
      </w:r>
      <w:r w:rsidRPr="002762D8">
        <w:rPr>
          <w:rFonts w:ascii="Arial" w:hAnsi="Arial" w:cs="Arial"/>
          <w:sz w:val="24"/>
          <w:szCs w:val="24"/>
        </w:rPr>
        <w:t>ependant deduction</w:t>
      </w:r>
      <w:r w:rsidR="00D77595" w:rsidRPr="002762D8">
        <w:rPr>
          <w:rFonts w:ascii="Arial" w:hAnsi="Arial" w:cs="Arial"/>
          <w:sz w:val="24"/>
          <w:szCs w:val="24"/>
        </w:rPr>
        <w:t xml:space="preserve">. </w:t>
      </w:r>
      <w:r w:rsidRPr="002762D8">
        <w:rPr>
          <w:rFonts w:ascii="Arial" w:hAnsi="Arial" w:cs="Arial"/>
          <w:sz w:val="24"/>
          <w:szCs w:val="24"/>
        </w:rPr>
        <w:t xml:space="preserve"> </w:t>
      </w:r>
    </w:p>
    <w:p w:rsidR="000725DA" w:rsidRDefault="000725DA" w:rsidP="000725DA">
      <w:pPr>
        <w:pStyle w:val="ListParagraph"/>
      </w:pPr>
    </w:p>
    <w:p w:rsidR="000725DA" w:rsidRPr="002762D8" w:rsidRDefault="000725DA" w:rsidP="002762D8">
      <w:pPr>
        <w:pStyle w:val="NoSpacing"/>
        <w:numPr>
          <w:ilvl w:val="0"/>
          <w:numId w:val="6"/>
        </w:numPr>
        <w:rPr>
          <w:rFonts w:ascii="Arial" w:hAnsi="Arial" w:cs="Arial"/>
          <w:sz w:val="24"/>
          <w:szCs w:val="24"/>
        </w:rPr>
      </w:pPr>
      <w:r>
        <w:rPr>
          <w:rFonts w:ascii="Arial" w:hAnsi="Arial" w:cs="Arial"/>
          <w:sz w:val="24"/>
          <w:szCs w:val="24"/>
        </w:rPr>
        <w:t xml:space="preserve">A minimum income floor </w:t>
      </w:r>
      <w:r w:rsidR="00320A80">
        <w:rPr>
          <w:rFonts w:ascii="Arial" w:hAnsi="Arial" w:cs="Arial"/>
          <w:sz w:val="24"/>
          <w:szCs w:val="24"/>
        </w:rPr>
        <w:t xml:space="preserve">will apply </w:t>
      </w:r>
      <w:r>
        <w:rPr>
          <w:rFonts w:ascii="Arial" w:hAnsi="Arial" w:cs="Arial"/>
          <w:sz w:val="24"/>
          <w:szCs w:val="24"/>
        </w:rPr>
        <w:t xml:space="preserve">for the self-employed.  </w:t>
      </w:r>
      <w:r w:rsidR="00320A80">
        <w:rPr>
          <w:rFonts w:ascii="Arial" w:hAnsi="Arial" w:cs="Arial"/>
          <w:sz w:val="24"/>
          <w:szCs w:val="24"/>
        </w:rPr>
        <w:t>A</w:t>
      </w:r>
      <w:r w:rsidRPr="00320A80">
        <w:rPr>
          <w:rFonts w:ascii="Arial" w:hAnsi="Arial" w:cs="Arial"/>
          <w:sz w:val="24"/>
          <w:szCs w:val="24"/>
        </w:rPr>
        <w:t xml:space="preserve"> self-employed person declaring less income than the national living wage will have their Council Tax Support calculated on a notional income equal to that of the national living wage.</w:t>
      </w:r>
    </w:p>
    <w:p w:rsidR="00866AE2" w:rsidRPr="002762D8" w:rsidRDefault="00866AE2" w:rsidP="002762D8">
      <w:pPr>
        <w:pStyle w:val="NoSpacing"/>
      </w:pPr>
    </w:p>
    <w:p w:rsidR="005F662D" w:rsidRDefault="0086031C" w:rsidP="00866AE2">
      <w:pPr>
        <w:pStyle w:val="Heading1"/>
        <w:jc w:val="both"/>
      </w:pPr>
      <w:bookmarkStart w:id="2" w:name="_Toc527460502"/>
      <w:r>
        <w:t>2 Classes of Persons</w:t>
      </w:r>
      <w:bookmarkEnd w:id="2"/>
      <w:r>
        <w:t xml:space="preserve"> </w:t>
      </w:r>
    </w:p>
    <w:p w:rsidR="00D77595" w:rsidRPr="00D77595" w:rsidRDefault="00D77595" w:rsidP="00866AE2">
      <w:pPr>
        <w:pStyle w:val="NoSpacing"/>
      </w:pPr>
    </w:p>
    <w:p w:rsidR="005F662D" w:rsidRPr="00F40324" w:rsidRDefault="0086031C" w:rsidP="00866AE2">
      <w:pPr>
        <w:pStyle w:val="CM24"/>
        <w:spacing w:after="77"/>
        <w:jc w:val="both"/>
      </w:pPr>
      <w:r w:rsidRPr="00F40324">
        <w:rPr>
          <w:b/>
          <w:bCs/>
        </w:rPr>
        <w:t xml:space="preserve">2.1 Classes of persons excluded from the scheme </w:t>
      </w:r>
    </w:p>
    <w:p w:rsidR="005F662D" w:rsidRPr="00F40324" w:rsidRDefault="0086031C" w:rsidP="00866AE2">
      <w:pPr>
        <w:pStyle w:val="CM25"/>
        <w:spacing w:after="502" w:line="276" w:lineRule="atLeast"/>
        <w:jc w:val="both"/>
      </w:pPr>
      <w:r w:rsidRPr="00F40324">
        <w:t xml:space="preserve">Classes of persons to be excluded from the scheme are as set out in the prescribed requirements regulations, including persons treated as not in Great Britain and persons subject to immigration control. </w:t>
      </w:r>
    </w:p>
    <w:p w:rsidR="005F662D" w:rsidRPr="00174157" w:rsidRDefault="0086031C" w:rsidP="00866AE2">
      <w:pPr>
        <w:pStyle w:val="CM23"/>
        <w:spacing w:after="375"/>
        <w:jc w:val="both"/>
      </w:pPr>
      <w:r w:rsidRPr="00174157">
        <w:rPr>
          <w:b/>
          <w:bCs/>
        </w:rPr>
        <w:t xml:space="preserve">2.2 Classes of person entitled to a reduction under this scheme </w:t>
      </w:r>
    </w:p>
    <w:p w:rsidR="005F662D" w:rsidRPr="00F40324" w:rsidRDefault="0086031C" w:rsidP="00866AE2">
      <w:pPr>
        <w:pStyle w:val="CM26"/>
        <w:spacing w:after="275" w:line="276" w:lineRule="atLeast"/>
        <w:jc w:val="both"/>
      </w:pPr>
      <w:r w:rsidRPr="00F40324">
        <w:rPr>
          <w:b/>
          <w:bCs/>
        </w:rPr>
        <w:t xml:space="preserve">Pensioners </w:t>
      </w:r>
    </w:p>
    <w:p w:rsidR="005F662D" w:rsidRDefault="0086031C" w:rsidP="00866AE2">
      <w:pPr>
        <w:pStyle w:val="CM26"/>
        <w:spacing w:after="275" w:line="276" w:lineRule="atLeast"/>
        <w:jc w:val="both"/>
      </w:pPr>
      <w:r w:rsidRPr="00F40324">
        <w:t xml:space="preserve">Classes A-C Pensioners who fall within any of classes A to C in the prescribed requirements regulations. </w:t>
      </w:r>
    </w:p>
    <w:p w:rsidR="008D477D" w:rsidRDefault="008D477D" w:rsidP="008D477D">
      <w:pPr>
        <w:pStyle w:val="Default"/>
      </w:pPr>
    </w:p>
    <w:p w:rsidR="008D477D" w:rsidRPr="008D477D" w:rsidRDefault="008D477D" w:rsidP="008D477D">
      <w:pPr>
        <w:pStyle w:val="Default"/>
      </w:pPr>
    </w:p>
    <w:p w:rsidR="005F662D" w:rsidRDefault="0086031C" w:rsidP="00866AE2">
      <w:pPr>
        <w:pStyle w:val="CM26"/>
        <w:spacing w:after="275" w:line="276" w:lineRule="atLeast"/>
        <w:jc w:val="both"/>
        <w:rPr>
          <w:b/>
          <w:bCs/>
        </w:rPr>
      </w:pPr>
      <w:r w:rsidRPr="00F40324">
        <w:rPr>
          <w:b/>
          <w:bCs/>
        </w:rPr>
        <w:t xml:space="preserve">Working age persons </w:t>
      </w:r>
    </w:p>
    <w:p w:rsidR="00B11333" w:rsidRDefault="00B11333" w:rsidP="00866AE2">
      <w:pPr>
        <w:pStyle w:val="Default"/>
        <w:jc w:val="both"/>
      </w:pPr>
      <w:r>
        <w:t xml:space="preserve">Persons who are not pensioners who have no earned income will fall into income band 1 of the table below.  </w:t>
      </w:r>
    </w:p>
    <w:p w:rsidR="00B11333" w:rsidRDefault="00B11333" w:rsidP="00866AE2">
      <w:pPr>
        <w:pStyle w:val="Default"/>
        <w:jc w:val="both"/>
      </w:pPr>
    </w:p>
    <w:p w:rsidR="00B11333" w:rsidRDefault="00B11333" w:rsidP="00866AE2">
      <w:pPr>
        <w:pStyle w:val="Default"/>
        <w:jc w:val="both"/>
      </w:pPr>
      <w:r>
        <w:t xml:space="preserve">Persons who are not pensioners who have earned income will receive a maximum level of support depending on what earnings threshold they fall into, as per the table below. Earned income will be calculated net of income tax, national insurance and 50% of pension contributions, there will be no other </w:t>
      </w:r>
      <w:r w:rsidR="000E28A6">
        <w:t>deductions</w:t>
      </w:r>
      <w:r>
        <w:t>.</w:t>
      </w:r>
    </w:p>
    <w:p w:rsidR="00B11333" w:rsidRDefault="00B11333" w:rsidP="00866AE2">
      <w:pPr>
        <w:pStyle w:val="Default"/>
        <w:jc w:val="both"/>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120"/>
        <w:gridCol w:w="2560"/>
      </w:tblGrid>
      <w:tr w:rsidR="00B11333" w:rsidRPr="005E3ACB" w:rsidTr="00866AE2">
        <w:trPr>
          <w:trHeight w:val="260"/>
          <w:jc w:val="center"/>
        </w:trPr>
        <w:tc>
          <w:tcPr>
            <w:tcW w:w="2400" w:type="dxa"/>
            <w:shd w:val="clear" w:color="000000" w:fill="9BC2E6"/>
            <w:noWrap/>
            <w:vAlign w:val="center"/>
            <w:hideMark/>
          </w:tcPr>
          <w:p w:rsidR="00B11333" w:rsidRPr="005E3ACB" w:rsidRDefault="00BC7386" w:rsidP="00B275A9">
            <w:pPr>
              <w:spacing w:after="0" w:line="240" w:lineRule="auto"/>
              <w:jc w:val="center"/>
              <w:rPr>
                <w:rFonts w:eastAsia="Times New Roman" w:cs="Calibri"/>
                <w:b/>
                <w:bCs/>
                <w:sz w:val="20"/>
                <w:szCs w:val="20"/>
              </w:rPr>
            </w:pPr>
            <w:r>
              <w:rPr>
                <w:rFonts w:eastAsia="Times New Roman" w:cs="Calibri"/>
                <w:b/>
                <w:bCs/>
                <w:sz w:val="20"/>
                <w:szCs w:val="20"/>
              </w:rPr>
              <w:t xml:space="preserve">Income </w:t>
            </w:r>
            <w:r w:rsidR="00B11333" w:rsidRPr="005E3ACB">
              <w:rPr>
                <w:rFonts w:eastAsia="Times New Roman" w:cs="Calibri"/>
                <w:b/>
                <w:bCs/>
                <w:sz w:val="20"/>
                <w:szCs w:val="20"/>
              </w:rPr>
              <w:t>Band</w:t>
            </w:r>
          </w:p>
        </w:tc>
        <w:tc>
          <w:tcPr>
            <w:tcW w:w="2120" w:type="dxa"/>
            <w:shd w:val="clear" w:color="000000" w:fill="9BC2E6"/>
            <w:vAlign w:val="center"/>
            <w:hideMark/>
          </w:tcPr>
          <w:p w:rsidR="00B11333" w:rsidRPr="005E3ACB" w:rsidRDefault="00B11333" w:rsidP="00B275A9">
            <w:pPr>
              <w:spacing w:after="0" w:line="240" w:lineRule="auto"/>
              <w:jc w:val="center"/>
              <w:rPr>
                <w:rFonts w:eastAsia="Times New Roman" w:cs="Calibri"/>
                <w:b/>
                <w:bCs/>
                <w:sz w:val="20"/>
                <w:szCs w:val="20"/>
              </w:rPr>
            </w:pPr>
            <w:r w:rsidRPr="005E3ACB">
              <w:rPr>
                <w:rFonts w:eastAsia="Times New Roman" w:cs="Calibri"/>
                <w:b/>
                <w:bCs/>
                <w:sz w:val="20"/>
                <w:szCs w:val="20"/>
              </w:rPr>
              <w:t>Discount off CT liability</w:t>
            </w:r>
          </w:p>
        </w:tc>
        <w:tc>
          <w:tcPr>
            <w:tcW w:w="2560" w:type="dxa"/>
            <w:shd w:val="clear" w:color="000000" w:fill="9BC2E6"/>
            <w:vAlign w:val="center"/>
            <w:hideMark/>
          </w:tcPr>
          <w:p w:rsidR="00B11333" w:rsidRPr="005E3ACB" w:rsidRDefault="00B11333" w:rsidP="00B275A9">
            <w:pPr>
              <w:spacing w:after="0" w:line="240" w:lineRule="auto"/>
              <w:jc w:val="center"/>
              <w:rPr>
                <w:rFonts w:eastAsia="Times New Roman" w:cs="Calibri"/>
                <w:b/>
                <w:bCs/>
                <w:sz w:val="20"/>
                <w:szCs w:val="20"/>
              </w:rPr>
            </w:pPr>
            <w:r w:rsidRPr="005E3ACB">
              <w:rPr>
                <w:rFonts w:eastAsia="Times New Roman" w:cs="Calibri"/>
                <w:b/>
                <w:bCs/>
                <w:sz w:val="20"/>
                <w:szCs w:val="20"/>
              </w:rPr>
              <w:t>Earnings threshold (monthly)</w:t>
            </w:r>
          </w:p>
        </w:tc>
      </w:tr>
      <w:tr w:rsidR="00B11333" w:rsidRPr="005E3ACB" w:rsidTr="00866AE2">
        <w:trPr>
          <w:trHeight w:val="267"/>
          <w:jc w:val="center"/>
        </w:trPr>
        <w:tc>
          <w:tcPr>
            <w:tcW w:w="2400" w:type="dxa"/>
            <w:shd w:val="clear" w:color="000000" w:fill="DDEBF7"/>
            <w:noWrap/>
            <w:hideMark/>
          </w:tcPr>
          <w:p w:rsidR="00B11333" w:rsidRPr="005E3ACB" w:rsidRDefault="00B11333" w:rsidP="00866AE2">
            <w:pPr>
              <w:spacing w:after="0" w:line="240" w:lineRule="auto"/>
              <w:jc w:val="both"/>
              <w:rPr>
                <w:rFonts w:eastAsia="Times New Roman" w:cs="Calibri"/>
                <w:color w:val="000000"/>
                <w:sz w:val="20"/>
                <w:szCs w:val="20"/>
              </w:rPr>
            </w:pPr>
            <w:r w:rsidRPr="005E3ACB">
              <w:rPr>
                <w:sz w:val="20"/>
                <w:szCs w:val="20"/>
              </w:rPr>
              <w:t>1</w:t>
            </w:r>
          </w:p>
        </w:tc>
        <w:tc>
          <w:tcPr>
            <w:tcW w:w="2120" w:type="dxa"/>
            <w:shd w:val="clear" w:color="000000" w:fill="DDEBF7"/>
            <w:noWrap/>
            <w:hideMark/>
          </w:tcPr>
          <w:p w:rsidR="00B11333" w:rsidRPr="005E3ACB" w:rsidRDefault="00B11333" w:rsidP="00866AE2">
            <w:pPr>
              <w:spacing w:after="0"/>
              <w:jc w:val="both"/>
              <w:rPr>
                <w:sz w:val="20"/>
                <w:szCs w:val="20"/>
              </w:rPr>
            </w:pPr>
            <w:r w:rsidRPr="005E3ACB">
              <w:rPr>
                <w:sz w:val="20"/>
                <w:szCs w:val="20"/>
              </w:rPr>
              <w:t>72.00%</w:t>
            </w:r>
          </w:p>
        </w:tc>
        <w:tc>
          <w:tcPr>
            <w:tcW w:w="2560" w:type="dxa"/>
            <w:shd w:val="clear" w:color="000000" w:fill="DDEBF7"/>
            <w:noWrap/>
            <w:hideMark/>
          </w:tcPr>
          <w:p w:rsidR="00B11333" w:rsidRPr="005E3ACB" w:rsidRDefault="00B11333" w:rsidP="00866AE2">
            <w:pPr>
              <w:spacing w:after="0"/>
              <w:jc w:val="both"/>
              <w:rPr>
                <w:sz w:val="20"/>
                <w:szCs w:val="20"/>
              </w:rPr>
            </w:pPr>
            <w:r w:rsidRPr="005E3ACB">
              <w:rPr>
                <w:sz w:val="20"/>
                <w:szCs w:val="20"/>
              </w:rPr>
              <w:t>No earnings</w:t>
            </w:r>
          </w:p>
        </w:tc>
      </w:tr>
      <w:tr w:rsidR="00B11333" w:rsidRPr="005E3ACB" w:rsidTr="00866AE2">
        <w:trPr>
          <w:trHeight w:val="154"/>
          <w:jc w:val="center"/>
        </w:trPr>
        <w:tc>
          <w:tcPr>
            <w:tcW w:w="2400" w:type="dxa"/>
            <w:shd w:val="clear" w:color="000000" w:fill="DDEBF7"/>
            <w:noWrap/>
            <w:hideMark/>
          </w:tcPr>
          <w:p w:rsidR="00B11333" w:rsidRPr="005E3ACB" w:rsidRDefault="00B11333" w:rsidP="00866AE2">
            <w:pPr>
              <w:spacing w:after="0" w:line="240" w:lineRule="auto"/>
              <w:jc w:val="both"/>
              <w:rPr>
                <w:rFonts w:eastAsia="Times New Roman" w:cs="Calibri"/>
                <w:sz w:val="20"/>
                <w:szCs w:val="20"/>
              </w:rPr>
            </w:pPr>
            <w:r w:rsidRPr="005E3ACB">
              <w:rPr>
                <w:sz w:val="20"/>
                <w:szCs w:val="20"/>
              </w:rPr>
              <w:t>2</w:t>
            </w:r>
          </w:p>
        </w:tc>
        <w:tc>
          <w:tcPr>
            <w:tcW w:w="2120" w:type="dxa"/>
            <w:shd w:val="clear" w:color="000000" w:fill="DDEBF7"/>
            <w:noWrap/>
            <w:hideMark/>
          </w:tcPr>
          <w:p w:rsidR="00B11333" w:rsidRPr="005E3ACB" w:rsidRDefault="00B11333" w:rsidP="00866AE2">
            <w:pPr>
              <w:spacing w:after="0"/>
              <w:jc w:val="both"/>
              <w:rPr>
                <w:sz w:val="20"/>
                <w:szCs w:val="20"/>
              </w:rPr>
            </w:pPr>
            <w:r w:rsidRPr="005E3ACB">
              <w:rPr>
                <w:sz w:val="20"/>
                <w:szCs w:val="20"/>
              </w:rPr>
              <w:t>52.00%</w:t>
            </w:r>
          </w:p>
        </w:tc>
        <w:tc>
          <w:tcPr>
            <w:tcW w:w="2560" w:type="dxa"/>
            <w:shd w:val="clear" w:color="000000" w:fill="DDEBF7"/>
            <w:noWrap/>
            <w:hideMark/>
          </w:tcPr>
          <w:p w:rsidR="00B11333" w:rsidRPr="005E3ACB" w:rsidRDefault="00B11333" w:rsidP="00866AE2">
            <w:pPr>
              <w:spacing w:after="0"/>
              <w:jc w:val="both"/>
              <w:rPr>
                <w:sz w:val="20"/>
                <w:szCs w:val="20"/>
              </w:rPr>
            </w:pPr>
            <w:r w:rsidRPr="005E3ACB">
              <w:rPr>
                <w:sz w:val="20"/>
                <w:szCs w:val="20"/>
              </w:rPr>
              <w:t>&lt;£500</w:t>
            </w:r>
          </w:p>
        </w:tc>
      </w:tr>
      <w:tr w:rsidR="00B11333" w:rsidRPr="005E3ACB" w:rsidTr="00866AE2">
        <w:trPr>
          <w:trHeight w:val="234"/>
          <w:jc w:val="center"/>
        </w:trPr>
        <w:tc>
          <w:tcPr>
            <w:tcW w:w="2400" w:type="dxa"/>
            <w:shd w:val="clear" w:color="000000" w:fill="DDEBF7"/>
            <w:noWrap/>
            <w:hideMark/>
          </w:tcPr>
          <w:p w:rsidR="00B11333" w:rsidRPr="005E3ACB" w:rsidRDefault="00B11333" w:rsidP="00866AE2">
            <w:pPr>
              <w:spacing w:after="0" w:line="240" w:lineRule="auto"/>
              <w:jc w:val="both"/>
              <w:rPr>
                <w:rFonts w:eastAsia="Times New Roman" w:cs="Calibri"/>
                <w:sz w:val="20"/>
                <w:szCs w:val="20"/>
              </w:rPr>
            </w:pPr>
            <w:r w:rsidRPr="005E3ACB">
              <w:rPr>
                <w:sz w:val="20"/>
                <w:szCs w:val="20"/>
              </w:rPr>
              <w:t>3</w:t>
            </w:r>
          </w:p>
        </w:tc>
        <w:tc>
          <w:tcPr>
            <w:tcW w:w="2120" w:type="dxa"/>
            <w:shd w:val="clear" w:color="000000" w:fill="DDEBF7"/>
            <w:noWrap/>
            <w:hideMark/>
          </w:tcPr>
          <w:p w:rsidR="00B11333" w:rsidRPr="005E3ACB" w:rsidRDefault="00B11333" w:rsidP="00866AE2">
            <w:pPr>
              <w:spacing w:after="0"/>
              <w:jc w:val="both"/>
              <w:rPr>
                <w:sz w:val="20"/>
                <w:szCs w:val="20"/>
              </w:rPr>
            </w:pPr>
            <w:r w:rsidRPr="005E3ACB">
              <w:rPr>
                <w:sz w:val="20"/>
                <w:szCs w:val="20"/>
              </w:rPr>
              <w:t>44.00%</w:t>
            </w:r>
          </w:p>
        </w:tc>
        <w:tc>
          <w:tcPr>
            <w:tcW w:w="2560" w:type="dxa"/>
            <w:shd w:val="clear" w:color="000000" w:fill="DDEBF7"/>
            <w:noWrap/>
            <w:hideMark/>
          </w:tcPr>
          <w:p w:rsidR="00B11333" w:rsidRPr="005E3ACB" w:rsidRDefault="00B11333" w:rsidP="00866AE2">
            <w:pPr>
              <w:spacing w:after="0"/>
              <w:jc w:val="both"/>
              <w:rPr>
                <w:sz w:val="20"/>
                <w:szCs w:val="20"/>
              </w:rPr>
            </w:pPr>
            <w:r w:rsidRPr="005E3ACB">
              <w:rPr>
                <w:sz w:val="20"/>
                <w:szCs w:val="20"/>
              </w:rPr>
              <w:t>£500.01-£800</w:t>
            </w:r>
          </w:p>
        </w:tc>
      </w:tr>
      <w:tr w:rsidR="00B11333" w:rsidRPr="005E3ACB" w:rsidTr="00866AE2">
        <w:trPr>
          <w:trHeight w:val="234"/>
          <w:jc w:val="center"/>
        </w:trPr>
        <w:tc>
          <w:tcPr>
            <w:tcW w:w="2400" w:type="dxa"/>
            <w:shd w:val="clear" w:color="000000" w:fill="DDEBF7"/>
            <w:noWrap/>
            <w:hideMark/>
          </w:tcPr>
          <w:p w:rsidR="00B11333" w:rsidRPr="005E3ACB" w:rsidRDefault="00B11333" w:rsidP="00866AE2">
            <w:pPr>
              <w:spacing w:after="0" w:line="240" w:lineRule="auto"/>
              <w:jc w:val="both"/>
              <w:rPr>
                <w:rFonts w:eastAsia="Times New Roman" w:cs="Calibri"/>
                <w:sz w:val="20"/>
                <w:szCs w:val="20"/>
              </w:rPr>
            </w:pPr>
            <w:r w:rsidRPr="005E3ACB">
              <w:rPr>
                <w:sz w:val="20"/>
                <w:szCs w:val="20"/>
              </w:rPr>
              <w:t>4</w:t>
            </w:r>
          </w:p>
        </w:tc>
        <w:tc>
          <w:tcPr>
            <w:tcW w:w="2120" w:type="dxa"/>
            <w:shd w:val="clear" w:color="000000" w:fill="DDEBF7"/>
            <w:noWrap/>
            <w:hideMark/>
          </w:tcPr>
          <w:p w:rsidR="00B11333" w:rsidRPr="005E3ACB" w:rsidRDefault="00B11333" w:rsidP="00866AE2">
            <w:pPr>
              <w:spacing w:after="0"/>
              <w:jc w:val="both"/>
              <w:rPr>
                <w:sz w:val="20"/>
                <w:szCs w:val="20"/>
              </w:rPr>
            </w:pPr>
            <w:r w:rsidRPr="005E3ACB">
              <w:rPr>
                <w:sz w:val="20"/>
                <w:szCs w:val="20"/>
              </w:rPr>
              <w:t>36.00%</w:t>
            </w:r>
          </w:p>
        </w:tc>
        <w:tc>
          <w:tcPr>
            <w:tcW w:w="2560" w:type="dxa"/>
            <w:shd w:val="clear" w:color="000000" w:fill="DDEBF7"/>
            <w:noWrap/>
            <w:hideMark/>
          </w:tcPr>
          <w:p w:rsidR="00B11333" w:rsidRPr="005E3ACB" w:rsidRDefault="00B11333" w:rsidP="00866AE2">
            <w:pPr>
              <w:spacing w:after="0"/>
              <w:jc w:val="both"/>
              <w:rPr>
                <w:sz w:val="20"/>
                <w:szCs w:val="20"/>
              </w:rPr>
            </w:pPr>
            <w:r w:rsidRPr="005E3ACB">
              <w:rPr>
                <w:sz w:val="20"/>
                <w:szCs w:val="20"/>
              </w:rPr>
              <w:t>£800.01-£1100</w:t>
            </w:r>
          </w:p>
        </w:tc>
      </w:tr>
      <w:tr w:rsidR="00B11333" w:rsidRPr="005E3ACB" w:rsidTr="00866AE2">
        <w:trPr>
          <w:trHeight w:val="68"/>
          <w:jc w:val="center"/>
        </w:trPr>
        <w:tc>
          <w:tcPr>
            <w:tcW w:w="2400" w:type="dxa"/>
            <w:shd w:val="clear" w:color="000000" w:fill="DDEBF7"/>
            <w:noWrap/>
            <w:hideMark/>
          </w:tcPr>
          <w:p w:rsidR="00B11333" w:rsidRPr="005E3ACB" w:rsidRDefault="00B11333" w:rsidP="00866AE2">
            <w:pPr>
              <w:spacing w:after="0" w:line="240" w:lineRule="auto"/>
              <w:jc w:val="both"/>
              <w:rPr>
                <w:rFonts w:eastAsia="Times New Roman" w:cs="Calibri"/>
                <w:sz w:val="20"/>
                <w:szCs w:val="20"/>
              </w:rPr>
            </w:pPr>
            <w:r w:rsidRPr="005E3ACB">
              <w:rPr>
                <w:sz w:val="20"/>
                <w:szCs w:val="20"/>
              </w:rPr>
              <w:t>5</w:t>
            </w:r>
          </w:p>
        </w:tc>
        <w:tc>
          <w:tcPr>
            <w:tcW w:w="2120" w:type="dxa"/>
            <w:shd w:val="clear" w:color="000000" w:fill="DDEBF7"/>
            <w:noWrap/>
            <w:hideMark/>
          </w:tcPr>
          <w:p w:rsidR="00B11333" w:rsidRPr="005E3ACB" w:rsidRDefault="00B11333" w:rsidP="00866AE2">
            <w:pPr>
              <w:spacing w:after="0"/>
              <w:jc w:val="both"/>
              <w:rPr>
                <w:sz w:val="20"/>
                <w:szCs w:val="20"/>
              </w:rPr>
            </w:pPr>
            <w:r w:rsidRPr="005E3ACB">
              <w:rPr>
                <w:sz w:val="20"/>
                <w:szCs w:val="20"/>
              </w:rPr>
              <w:t>28.00%</w:t>
            </w:r>
          </w:p>
        </w:tc>
        <w:tc>
          <w:tcPr>
            <w:tcW w:w="2560" w:type="dxa"/>
            <w:shd w:val="clear" w:color="000000" w:fill="DDEBF7"/>
            <w:noWrap/>
            <w:hideMark/>
          </w:tcPr>
          <w:p w:rsidR="00B11333" w:rsidRPr="005E3ACB" w:rsidRDefault="00B11333" w:rsidP="00866AE2">
            <w:pPr>
              <w:spacing w:after="0"/>
              <w:jc w:val="both"/>
              <w:rPr>
                <w:sz w:val="20"/>
                <w:szCs w:val="20"/>
              </w:rPr>
            </w:pPr>
            <w:r w:rsidRPr="005E3ACB">
              <w:rPr>
                <w:sz w:val="20"/>
                <w:szCs w:val="20"/>
              </w:rPr>
              <w:t>£1100.01-£1400</w:t>
            </w:r>
          </w:p>
        </w:tc>
      </w:tr>
      <w:tr w:rsidR="00B11333" w:rsidRPr="005E3ACB" w:rsidTr="00866AE2">
        <w:trPr>
          <w:trHeight w:val="68"/>
          <w:jc w:val="center"/>
        </w:trPr>
        <w:tc>
          <w:tcPr>
            <w:tcW w:w="2400" w:type="dxa"/>
            <w:shd w:val="clear" w:color="000000" w:fill="DDEBF7"/>
            <w:noWrap/>
          </w:tcPr>
          <w:p w:rsidR="00B11333" w:rsidRPr="005E3ACB" w:rsidRDefault="00B11333" w:rsidP="00866AE2">
            <w:pPr>
              <w:spacing w:after="0" w:line="240" w:lineRule="auto"/>
              <w:jc w:val="both"/>
              <w:rPr>
                <w:rFonts w:eastAsia="Times New Roman" w:cs="Calibri"/>
                <w:sz w:val="20"/>
                <w:szCs w:val="20"/>
              </w:rPr>
            </w:pPr>
            <w:r w:rsidRPr="005E3ACB">
              <w:rPr>
                <w:sz w:val="20"/>
                <w:szCs w:val="20"/>
              </w:rPr>
              <w:t>6</w:t>
            </w:r>
          </w:p>
        </w:tc>
        <w:tc>
          <w:tcPr>
            <w:tcW w:w="2120" w:type="dxa"/>
            <w:shd w:val="clear" w:color="000000" w:fill="DDEBF7"/>
            <w:noWrap/>
          </w:tcPr>
          <w:p w:rsidR="00B11333" w:rsidRPr="005E3ACB" w:rsidRDefault="00B11333" w:rsidP="00866AE2">
            <w:pPr>
              <w:spacing w:after="0"/>
              <w:jc w:val="both"/>
              <w:rPr>
                <w:sz w:val="20"/>
                <w:szCs w:val="20"/>
              </w:rPr>
            </w:pPr>
            <w:r w:rsidRPr="005E3ACB">
              <w:rPr>
                <w:sz w:val="20"/>
                <w:szCs w:val="20"/>
              </w:rPr>
              <w:t>20.00%</w:t>
            </w:r>
          </w:p>
        </w:tc>
        <w:tc>
          <w:tcPr>
            <w:tcW w:w="2560" w:type="dxa"/>
            <w:shd w:val="clear" w:color="000000" w:fill="DDEBF7"/>
            <w:noWrap/>
          </w:tcPr>
          <w:p w:rsidR="00B11333" w:rsidRPr="005E3ACB" w:rsidRDefault="00B11333" w:rsidP="00866AE2">
            <w:pPr>
              <w:spacing w:after="0"/>
              <w:jc w:val="both"/>
              <w:rPr>
                <w:sz w:val="20"/>
                <w:szCs w:val="20"/>
              </w:rPr>
            </w:pPr>
            <w:r w:rsidRPr="005E3ACB">
              <w:rPr>
                <w:sz w:val="20"/>
                <w:szCs w:val="20"/>
              </w:rPr>
              <w:t>£1400.01-£1700</w:t>
            </w:r>
          </w:p>
        </w:tc>
      </w:tr>
      <w:tr w:rsidR="00B11333" w:rsidRPr="005E3ACB" w:rsidTr="00866AE2">
        <w:trPr>
          <w:trHeight w:val="68"/>
          <w:jc w:val="center"/>
        </w:trPr>
        <w:tc>
          <w:tcPr>
            <w:tcW w:w="2400" w:type="dxa"/>
            <w:shd w:val="clear" w:color="000000" w:fill="DDEBF7"/>
            <w:noWrap/>
          </w:tcPr>
          <w:p w:rsidR="00B11333" w:rsidRPr="005E3ACB" w:rsidRDefault="00B11333" w:rsidP="00866AE2">
            <w:pPr>
              <w:spacing w:after="0" w:line="240" w:lineRule="auto"/>
              <w:jc w:val="both"/>
              <w:rPr>
                <w:rFonts w:eastAsia="Times New Roman" w:cs="Calibri"/>
                <w:sz w:val="20"/>
                <w:szCs w:val="20"/>
              </w:rPr>
            </w:pPr>
            <w:r w:rsidRPr="005E3ACB">
              <w:rPr>
                <w:sz w:val="20"/>
                <w:szCs w:val="20"/>
              </w:rPr>
              <w:t>7</w:t>
            </w:r>
          </w:p>
        </w:tc>
        <w:tc>
          <w:tcPr>
            <w:tcW w:w="2120" w:type="dxa"/>
            <w:shd w:val="clear" w:color="000000" w:fill="DDEBF7"/>
            <w:noWrap/>
          </w:tcPr>
          <w:p w:rsidR="00B11333" w:rsidRPr="005E3ACB" w:rsidRDefault="00B11333" w:rsidP="00866AE2">
            <w:pPr>
              <w:spacing w:after="0"/>
              <w:jc w:val="both"/>
              <w:rPr>
                <w:sz w:val="20"/>
                <w:szCs w:val="20"/>
              </w:rPr>
            </w:pPr>
            <w:r w:rsidRPr="005E3ACB">
              <w:rPr>
                <w:sz w:val="20"/>
                <w:szCs w:val="20"/>
              </w:rPr>
              <w:t>12.00%</w:t>
            </w:r>
          </w:p>
        </w:tc>
        <w:tc>
          <w:tcPr>
            <w:tcW w:w="2560" w:type="dxa"/>
            <w:shd w:val="clear" w:color="000000" w:fill="DDEBF7"/>
            <w:noWrap/>
          </w:tcPr>
          <w:p w:rsidR="00B11333" w:rsidRPr="005E3ACB" w:rsidRDefault="00B11333" w:rsidP="00866AE2">
            <w:pPr>
              <w:spacing w:after="0"/>
              <w:jc w:val="both"/>
              <w:rPr>
                <w:sz w:val="20"/>
                <w:szCs w:val="20"/>
              </w:rPr>
            </w:pPr>
            <w:r w:rsidRPr="005E3ACB">
              <w:rPr>
                <w:sz w:val="20"/>
                <w:szCs w:val="20"/>
              </w:rPr>
              <w:t>£1700.01-£2000</w:t>
            </w:r>
          </w:p>
        </w:tc>
      </w:tr>
    </w:tbl>
    <w:p w:rsidR="00B11333" w:rsidRDefault="00B11333" w:rsidP="00866AE2">
      <w:pPr>
        <w:pStyle w:val="Default"/>
        <w:jc w:val="both"/>
      </w:pPr>
    </w:p>
    <w:p w:rsidR="00B11333" w:rsidRDefault="00B11333" w:rsidP="00866AE2">
      <w:pPr>
        <w:pStyle w:val="Default"/>
        <w:jc w:val="both"/>
      </w:pPr>
      <w:r>
        <w:t xml:space="preserve">Persons in receipt of Universal Credit will have their </w:t>
      </w:r>
      <w:r w:rsidR="001960DB">
        <w:t>Council Tax Support calculated using the earnings verified on the Universal Credit notice.</w:t>
      </w:r>
    </w:p>
    <w:p w:rsidR="001960DB" w:rsidRDefault="001960DB" w:rsidP="00866AE2">
      <w:pPr>
        <w:pStyle w:val="Default"/>
        <w:jc w:val="both"/>
      </w:pPr>
    </w:p>
    <w:p w:rsidR="001960DB" w:rsidRDefault="001960DB" w:rsidP="00866AE2">
      <w:pPr>
        <w:pStyle w:val="Default"/>
        <w:jc w:val="both"/>
      </w:pPr>
      <w:r>
        <w:t>Persons not in receipt of Universal Credit will be required to evidence their circumstances, such as earnings.</w:t>
      </w:r>
    </w:p>
    <w:p w:rsidR="000E28A6" w:rsidRDefault="000E28A6" w:rsidP="00866AE2">
      <w:pPr>
        <w:pStyle w:val="Default"/>
        <w:jc w:val="both"/>
      </w:pPr>
    </w:p>
    <w:p w:rsidR="000E28A6" w:rsidRDefault="000E28A6" w:rsidP="00866AE2">
      <w:pPr>
        <w:pStyle w:val="Default"/>
        <w:jc w:val="both"/>
      </w:pPr>
      <w:r>
        <w:t>Persons who do not have any earned income will have all other income disregarded and be placed in Band 1 of the above table and receive a maximum award of 72%.</w:t>
      </w:r>
    </w:p>
    <w:p w:rsidR="005F662D" w:rsidRPr="00F40324" w:rsidRDefault="005F662D" w:rsidP="00866AE2">
      <w:pPr>
        <w:pStyle w:val="CM23"/>
        <w:spacing w:after="375" w:line="276" w:lineRule="atLeast"/>
        <w:jc w:val="both"/>
      </w:pPr>
    </w:p>
    <w:p w:rsidR="005F662D" w:rsidRPr="00C82670" w:rsidRDefault="001960DB" w:rsidP="00866AE2">
      <w:pPr>
        <w:pStyle w:val="Heading1"/>
        <w:jc w:val="both"/>
        <w:rPr>
          <w:rStyle w:val="Heading1Char"/>
          <w:b/>
        </w:rPr>
      </w:pPr>
      <w:bookmarkStart w:id="3" w:name="_Toc527460503"/>
      <w:r>
        <w:rPr>
          <w:sz w:val="32"/>
          <w:szCs w:val="32"/>
        </w:rPr>
        <w:t>3</w:t>
      </w:r>
      <w:r w:rsidR="0086031C" w:rsidRPr="00C82670">
        <w:rPr>
          <w:b w:val="0"/>
          <w:sz w:val="32"/>
          <w:szCs w:val="32"/>
        </w:rPr>
        <w:t xml:space="preserve"> </w:t>
      </w:r>
      <w:r w:rsidR="0086031C" w:rsidRPr="00C82670">
        <w:rPr>
          <w:rStyle w:val="Heading1Char"/>
          <w:b/>
        </w:rPr>
        <w:t xml:space="preserve">Maximum </w:t>
      </w:r>
      <w:r w:rsidR="00C82670" w:rsidRPr="00C82670">
        <w:rPr>
          <w:rStyle w:val="Heading1Char"/>
          <w:b/>
        </w:rPr>
        <w:t>C</w:t>
      </w:r>
      <w:r w:rsidR="0086031C" w:rsidRPr="00C82670">
        <w:rPr>
          <w:rStyle w:val="Heading1Char"/>
          <w:b/>
        </w:rPr>
        <w:t xml:space="preserve">ouncil </w:t>
      </w:r>
      <w:r w:rsidR="00C82670" w:rsidRPr="00C82670">
        <w:rPr>
          <w:rStyle w:val="Heading1Char"/>
          <w:b/>
        </w:rPr>
        <w:t>T</w:t>
      </w:r>
      <w:r w:rsidR="0086031C" w:rsidRPr="00C82670">
        <w:rPr>
          <w:rStyle w:val="Heading1Char"/>
          <w:b/>
        </w:rPr>
        <w:t xml:space="preserve">ax </w:t>
      </w:r>
      <w:r>
        <w:rPr>
          <w:rStyle w:val="Heading1Char"/>
          <w:b/>
        </w:rPr>
        <w:t>Support</w:t>
      </w:r>
      <w:r w:rsidR="0086031C" w:rsidRPr="00C82670">
        <w:rPr>
          <w:rStyle w:val="Heading1Char"/>
          <w:b/>
        </w:rPr>
        <w:t xml:space="preserve"> for the purposes of calculating eligibility for </w:t>
      </w:r>
      <w:r>
        <w:rPr>
          <w:rStyle w:val="Heading1Char"/>
          <w:b/>
        </w:rPr>
        <w:t>support</w:t>
      </w:r>
      <w:r w:rsidR="0086031C" w:rsidRPr="00C82670">
        <w:rPr>
          <w:rStyle w:val="Heading1Char"/>
          <w:b/>
        </w:rPr>
        <w:t xml:space="preserve"> under this scheme and amount of reduction</w:t>
      </w:r>
      <w:bookmarkEnd w:id="3"/>
      <w:r w:rsidR="0086031C" w:rsidRPr="00C82670">
        <w:rPr>
          <w:rStyle w:val="Heading1Char"/>
          <w:b/>
        </w:rPr>
        <w:t xml:space="preserve"> </w:t>
      </w:r>
    </w:p>
    <w:p w:rsidR="00F40324" w:rsidRPr="00F40324" w:rsidRDefault="00F40324" w:rsidP="00866AE2">
      <w:pPr>
        <w:pStyle w:val="CM24"/>
        <w:spacing w:after="77" w:line="276" w:lineRule="atLeast"/>
        <w:jc w:val="both"/>
        <w:rPr>
          <w:bCs/>
        </w:rPr>
      </w:pPr>
    </w:p>
    <w:p w:rsidR="00F40324" w:rsidRDefault="001960DB" w:rsidP="00866AE2">
      <w:pPr>
        <w:pStyle w:val="CM24"/>
        <w:spacing w:after="77" w:line="276" w:lineRule="atLeast"/>
        <w:jc w:val="both"/>
        <w:rPr>
          <w:bCs/>
        </w:rPr>
      </w:pPr>
      <w:r>
        <w:rPr>
          <w:bCs/>
        </w:rPr>
        <w:t>3</w:t>
      </w:r>
      <w:r w:rsidR="0086031C" w:rsidRPr="00F40324">
        <w:rPr>
          <w:bCs/>
        </w:rPr>
        <w:t xml:space="preserve">.1 Maximum </w:t>
      </w:r>
      <w:r>
        <w:rPr>
          <w:bCs/>
        </w:rPr>
        <w:t>Council Tax Support under this scheme: F</w:t>
      </w:r>
      <w:r w:rsidR="0086031C" w:rsidRPr="00F40324">
        <w:rPr>
          <w:bCs/>
        </w:rPr>
        <w:t xml:space="preserve">or classes A to C, the maximum council tax reduction is as set out in regulation 29 of the default scheme. </w:t>
      </w:r>
    </w:p>
    <w:p w:rsidR="001960DB" w:rsidRPr="001960DB" w:rsidRDefault="001960DB" w:rsidP="00866AE2">
      <w:pPr>
        <w:pStyle w:val="Default"/>
        <w:jc w:val="both"/>
      </w:pPr>
    </w:p>
    <w:p w:rsidR="005F662D" w:rsidRPr="00F40324" w:rsidRDefault="001960DB" w:rsidP="00866AE2">
      <w:pPr>
        <w:pStyle w:val="CM24"/>
        <w:spacing w:after="77" w:line="276" w:lineRule="atLeast"/>
        <w:jc w:val="both"/>
        <w:rPr>
          <w:bCs/>
        </w:rPr>
      </w:pPr>
      <w:r>
        <w:rPr>
          <w:bCs/>
        </w:rPr>
        <w:t>3</w:t>
      </w:r>
      <w:r w:rsidR="0086031C" w:rsidRPr="00F40324">
        <w:rPr>
          <w:bCs/>
        </w:rPr>
        <w:t xml:space="preserve">.2 Maximum </w:t>
      </w:r>
      <w:r>
        <w:rPr>
          <w:bCs/>
        </w:rPr>
        <w:t>Council T</w:t>
      </w:r>
      <w:r w:rsidR="0086031C" w:rsidRPr="00F40324">
        <w:rPr>
          <w:bCs/>
        </w:rPr>
        <w:t xml:space="preserve">ax </w:t>
      </w:r>
      <w:r>
        <w:rPr>
          <w:bCs/>
        </w:rPr>
        <w:t>Support</w:t>
      </w:r>
      <w:r w:rsidR="0086031C" w:rsidRPr="00F40324">
        <w:rPr>
          <w:bCs/>
        </w:rPr>
        <w:t xml:space="preserve"> under this scheme: </w:t>
      </w:r>
      <w:r>
        <w:rPr>
          <w:bCs/>
        </w:rPr>
        <w:t xml:space="preserve">For </w:t>
      </w:r>
      <w:r w:rsidR="0086031C" w:rsidRPr="00F40324">
        <w:rPr>
          <w:bCs/>
        </w:rPr>
        <w:t xml:space="preserve">persons </w:t>
      </w:r>
      <w:r>
        <w:rPr>
          <w:bCs/>
        </w:rPr>
        <w:t>who are not pensioners</w:t>
      </w:r>
    </w:p>
    <w:p w:rsidR="005F662D" w:rsidRDefault="001960DB" w:rsidP="00866AE2">
      <w:pPr>
        <w:pStyle w:val="CM24"/>
        <w:spacing w:after="77" w:line="276" w:lineRule="atLeast"/>
        <w:jc w:val="both"/>
        <w:rPr>
          <w:bCs/>
        </w:rPr>
      </w:pPr>
      <w:r>
        <w:rPr>
          <w:bCs/>
        </w:rPr>
        <w:t>the maximum C</w:t>
      </w:r>
      <w:r w:rsidR="0086031C" w:rsidRPr="00F40324">
        <w:rPr>
          <w:bCs/>
        </w:rPr>
        <w:t xml:space="preserve">ouncil </w:t>
      </w:r>
      <w:r>
        <w:rPr>
          <w:bCs/>
        </w:rPr>
        <w:t>T</w:t>
      </w:r>
      <w:r w:rsidR="0086031C" w:rsidRPr="00F40324">
        <w:rPr>
          <w:bCs/>
        </w:rPr>
        <w:t xml:space="preserve">ax </w:t>
      </w:r>
      <w:r>
        <w:rPr>
          <w:bCs/>
        </w:rPr>
        <w:t>Support</w:t>
      </w:r>
      <w:r w:rsidR="0086031C" w:rsidRPr="00F40324">
        <w:rPr>
          <w:bCs/>
        </w:rPr>
        <w:t xml:space="preserve"> is </w:t>
      </w:r>
      <w:r w:rsidR="00F82427">
        <w:rPr>
          <w:bCs/>
        </w:rPr>
        <w:t>calculated</w:t>
      </w:r>
      <w:r>
        <w:rPr>
          <w:bCs/>
        </w:rPr>
        <w:t xml:space="preserve"> as per section 2.2.  </w:t>
      </w:r>
      <w:r w:rsidR="00F76D78">
        <w:rPr>
          <w:bCs/>
        </w:rPr>
        <w:t xml:space="preserve">Non-dependant deductions will be calculated </w:t>
      </w:r>
      <w:r w:rsidR="00F76D78" w:rsidRPr="00F76D78">
        <w:rPr>
          <w:bCs/>
        </w:rPr>
        <w:t>as per section 4</w:t>
      </w:r>
      <w:r w:rsidR="00F76D78">
        <w:rPr>
          <w:bCs/>
        </w:rPr>
        <w:t>.</w:t>
      </w:r>
    </w:p>
    <w:p w:rsidR="00866AE2" w:rsidRPr="00866AE2" w:rsidRDefault="00866AE2" w:rsidP="00866AE2">
      <w:pPr>
        <w:pStyle w:val="Default"/>
      </w:pPr>
    </w:p>
    <w:p w:rsidR="005F662D" w:rsidRDefault="001960DB" w:rsidP="00866AE2">
      <w:pPr>
        <w:pStyle w:val="Heading1"/>
        <w:jc w:val="both"/>
      </w:pPr>
      <w:bookmarkStart w:id="4" w:name="_Toc527460504"/>
      <w:r>
        <w:t>4</w:t>
      </w:r>
      <w:r w:rsidR="0086031C">
        <w:t xml:space="preserve"> Non-dependant deductions: pensioners and persons who are not pensioners</w:t>
      </w:r>
      <w:bookmarkEnd w:id="4"/>
      <w:r w:rsidR="0086031C">
        <w:t xml:space="preserve"> </w:t>
      </w:r>
    </w:p>
    <w:p w:rsidR="00F76D78" w:rsidRDefault="00F76D78" w:rsidP="00866AE2">
      <w:pPr>
        <w:pStyle w:val="NoSpacing"/>
      </w:pPr>
    </w:p>
    <w:p w:rsidR="005F662D" w:rsidRPr="00F40324" w:rsidRDefault="0086031C" w:rsidP="00866AE2">
      <w:pPr>
        <w:pStyle w:val="CM26"/>
        <w:spacing w:after="275" w:line="276" w:lineRule="atLeast"/>
        <w:ind w:right="125"/>
        <w:jc w:val="both"/>
      </w:pPr>
      <w:r w:rsidRPr="00F40324">
        <w:t>The non-dependant deductions for pensioners (classes A –C) are as set out in the prescribed requirements regulations</w:t>
      </w:r>
      <w:r w:rsidR="00F76D78">
        <w:t>.</w:t>
      </w:r>
      <w:r w:rsidRPr="00F40324">
        <w:t xml:space="preserve"> </w:t>
      </w:r>
    </w:p>
    <w:p w:rsidR="005F662D" w:rsidRDefault="0086031C" w:rsidP="00866AE2">
      <w:pPr>
        <w:pStyle w:val="CM5"/>
        <w:jc w:val="both"/>
      </w:pPr>
      <w:r w:rsidRPr="00F40324">
        <w:t xml:space="preserve">The non-dependant deductions for working age </w:t>
      </w:r>
      <w:r w:rsidR="00F76D78">
        <w:t>from 1</w:t>
      </w:r>
      <w:r w:rsidR="00F76D78" w:rsidRPr="00F76D78">
        <w:rPr>
          <w:vertAlign w:val="superscript"/>
        </w:rPr>
        <w:t>st</w:t>
      </w:r>
      <w:r w:rsidR="00F76D78">
        <w:t xml:space="preserve"> </w:t>
      </w:r>
      <w:r w:rsidRPr="00F40324">
        <w:t>April 201</w:t>
      </w:r>
      <w:r w:rsidR="00F76D78">
        <w:t>9</w:t>
      </w:r>
      <w:r w:rsidRPr="00F40324">
        <w:t xml:space="preserve"> are as set out in </w:t>
      </w:r>
      <w:r w:rsidR="00174157">
        <w:t>appendix B.</w:t>
      </w:r>
    </w:p>
    <w:p w:rsidR="00F76D78" w:rsidRPr="00F76D78" w:rsidRDefault="00F76D78" w:rsidP="00866AE2">
      <w:pPr>
        <w:pStyle w:val="Default"/>
        <w:jc w:val="both"/>
      </w:pPr>
    </w:p>
    <w:p w:rsidR="005F662D" w:rsidRDefault="00582BFC" w:rsidP="00866AE2">
      <w:pPr>
        <w:pStyle w:val="Heading1"/>
        <w:jc w:val="both"/>
      </w:pPr>
      <w:bookmarkStart w:id="5" w:name="_Toc527460505"/>
      <w:r>
        <w:t>5</w:t>
      </w:r>
      <w:r w:rsidR="0086031C">
        <w:t xml:space="preserve"> Amount of reduction under this scheme</w:t>
      </w:r>
      <w:bookmarkEnd w:id="5"/>
      <w:r w:rsidR="0086031C">
        <w:t xml:space="preserve"> </w:t>
      </w:r>
    </w:p>
    <w:p w:rsidR="00D77595" w:rsidRPr="00D77595" w:rsidRDefault="00D77595" w:rsidP="00866AE2">
      <w:pPr>
        <w:jc w:val="both"/>
      </w:pPr>
    </w:p>
    <w:p w:rsidR="003F4F4E" w:rsidRDefault="00582BFC" w:rsidP="00866AE2">
      <w:pPr>
        <w:pStyle w:val="CM23"/>
        <w:spacing w:after="375" w:line="276" w:lineRule="atLeast"/>
        <w:jc w:val="both"/>
        <w:rPr>
          <w:b/>
          <w:bCs/>
        </w:rPr>
      </w:pPr>
      <w:r>
        <w:rPr>
          <w:b/>
          <w:bCs/>
        </w:rPr>
        <w:t>5</w:t>
      </w:r>
      <w:r w:rsidR="0086031C" w:rsidRPr="00F40324">
        <w:rPr>
          <w:b/>
          <w:bCs/>
        </w:rPr>
        <w:t>.1 Amount</w:t>
      </w:r>
      <w:r w:rsidR="00866AE2">
        <w:rPr>
          <w:b/>
          <w:bCs/>
        </w:rPr>
        <w:t xml:space="preserve"> of reduction under this scheme</w:t>
      </w:r>
      <w:r w:rsidR="0086031C" w:rsidRPr="00F40324">
        <w:rPr>
          <w:b/>
          <w:bCs/>
        </w:rPr>
        <w:t xml:space="preserve"> </w:t>
      </w:r>
    </w:p>
    <w:p w:rsidR="005F662D" w:rsidRDefault="003F4F4E" w:rsidP="00866AE2">
      <w:pPr>
        <w:pStyle w:val="CM23"/>
        <w:spacing w:after="375" w:line="276" w:lineRule="atLeast"/>
        <w:jc w:val="both"/>
      </w:pPr>
      <w:r>
        <w:t>C</w:t>
      </w:r>
      <w:r w:rsidR="0086031C" w:rsidRPr="00F40324">
        <w:t xml:space="preserve">ouncil Tax Support will </w:t>
      </w:r>
      <w:r w:rsidR="00CE1C25">
        <w:t xml:space="preserve">then </w:t>
      </w:r>
      <w:r>
        <w:t>be calculated as per section 2.2.</w:t>
      </w:r>
    </w:p>
    <w:p w:rsidR="003F4F4E" w:rsidRPr="003F4F4E" w:rsidRDefault="003F4F4E" w:rsidP="00866AE2">
      <w:pPr>
        <w:pStyle w:val="Default"/>
        <w:jc w:val="both"/>
      </w:pPr>
    </w:p>
    <w:p w:rsidR="005F662D" w:rsidRPr="00F40324" w:rsidRDefault="00582BFC" w:rsidP="00866AE2">
      <w:pPr>
        <w:pStyle w:val="CM24"/>
        <w:spacing w:after="77" w:line="276" w:lineRule="atLeast"/>
        <w:jc w:val="both"/>
      </w:pPr>
      <w:r>
        <w:rPr>
          <w:b/>
          <w:bCs/>
        </w:rPr>
        <w:t>5</w:t>
      </w:r>
      <w:r w:rsidR="0086031C" w:rsidRPr="00F40324">
        <w:rPr>
          <w:b/>
          <w:bCs/>
        </w:rPr>
        <w:t>.</w:t>
      </w:r>
      <w:r w:rsidR="003F4F4E">
        <w:rPr>
          <w:b/>
          <w:bCs/>
        </w:rPr>
        <w:t>2</w:t>
      </w:r>
      <w:r w:rsidR="0086031C" w:rsidRPr="00F40324">
        <w:rPr>
          <w:b/>
          <w:bCs/>
        </w:rPr>
        <w:t xml:space="preserve"> Where a</w:t>
      </w:r>
      <w:r w:rsidR="003F4F4E">
        <w:rPr>
          <w:b/>
          <w:bCs/>
        </w:rPr>
        <w:t xml:space="preserve"> working age</w:t>
      </w:r>
      <w:r w:rsidR="0086031C" w:rsidRPr="00F40324">
        <w:rPr>
          <w:b/>
          <w:bCs/>
        </w:rPr>
        <w:t xml:space="preserve"> person is</w:t>
      </w:r>
      <w:r w:rsidR="003F4F4E">
        <w:rPr>
          <w:b/>
          <w:bCs/>
        </w:rPr>
        <w:t xml:space="preserve"> not in receipt of earned income</w:t>
      </w:r>
      <w:r w:rsidR="0086031C" w:rsidRPr="00F40324">
        <w:rPr>
          <w:b/>
          <w:bCs/>
        </w:rPr>
        <w:t>, th</w:t>
      </w:r>
      <w:r w:rsidR="00BC7386">
        <w:rPr>
          <w:b/>
          <w:bCs/>
        </w:rPr>
        <w:t>e award</w:t>
      </w:r>
      <w:r w:rsidR="0086031C" w:rsidRPr="00F40324">
        <w:rPr>
          <w:b/>
          <w:bCs/>
        </w:rPr>
        <w:t xml:space="preserve"> is </w:t>
      </w:r>
    </w:p>
    <w:p w:rsidR="003F4F4E" w:rsidRPr="003F4F4E" w:rsidRDefault="00CE1C25" w:rsidP="00866AE2">
      <w:pPr>
        <w:pStyle w:val="CM10"/>
        <w:numPr>
          <w:ilvl w:val="0"/>
          <w:numId w:val="8"/>
        </w:numPr>
        <w:ind w:left="709"/>
        <w:jc w:val="both"/>
      </w:pPr>
      <w:r>
        <w:t>the</w:t>
      </w:r>
      <w:r w:rsidR="0086031C" w:rsidRPr="00F40324">
        <w:t xml:space="preserve"> actual liability for the Council Tax. </w:t>
      </w:r>
    </w:p>
    <w:p w:rsidR="005F662D" w:rsidRPr="00F40324" w:rsidRDefault="003F4F4E" w:rsidP="00866AE2">
      <w:pPr>
        <w:pStyle w:val="CM10"/>
        <w:numPr>
          <w:ilvl w:val="0"/>
          <w:numId w:val="8"/>
        </w:numPr>
        <w:ind w:left="709"/>
        <w:jc w:val="both"/>
      </w:pPr>
      <w:r>
        <w:t>less 28%</w:t>
      </w:r>
    </w:p>
    <w:p w:rsidR="005F662D" w:rsidRPr="00F40324" w:rsidRDefault="003F4F4E" w:rsidP="00866AE2">
      <w:pPr>
        <w:pStyle w:val="CM25"/>
        <w:numPr>
          <w:ilvl w:val="0"/>
          <w:numId w:val="8"/>
        </w:numPr>
        <w:spacing w:after="502" w:line="278" w:lineRule="atLeast"/>
        <w:ind w:left="709"/>
        <w:jc w:val="both"/>
      </w:pPr>
      <w:r w:rsidRPr="00F40324">
        <w:t xml:space="preserve">less any non-dependant deductions set out in </w:t>
      </w:r>
      <w:r w:rsidRPr="00174157">
        <w:t>appendix</w:t>
      </w:r>
      <w:r w:rsidR="00174157" w:rsidRPr="00174157">
        <w:t xml:space="preserve"> B</w:t>
      </w:r>
    </w:p>
    <w:p w:rsidR="005F662D" w:rsidRPr="00F40324" w:rsidRDefault="00582BFC" w:rsidP="00866AE2">
      <w:pPr>
        <w:pStyle w:val="CM24"/>
        <w:spacing w:after="77" w:line="276" w:lineRule="atLeast"/>
        <w:jc w:val="both"/>
      </w:pPr>
      <w:r>
        <w:rPr>
          <w:b/>
          <w:bCs/>
        </w:rPr>
        <w:t>5.3</w:t>
      </w:r>
      <w:r w:rsidR="0086031C" w:rsidRPr="00F40324">
        <w:rPr>
          <w:b/>
          <w:bCs/>
        </w:rPr>
        <w:t xml:space="preserve"> Where a </w:t>
      </w:r>
      <w:r w:rsidR="003F4F4E">
        <w:rPr>
          <w:b/>
          <w:bCs/>
        </w:rPr>
        <w:t xml:space="preserve">working age </w:t>
      </w:r>
      <w:r w:rsidR="0086031C" w:rsidRPr="00F40324">
        <w:rPr>
          <w:b/>
          <w:bCs/>
        </w:rPr>
        <w:t>person is</w:t>
      </w:r>
      <w:r w:rsidR="003F4F4E">
        <w:rPr>
          <w:b/>
          <w:bCs/>
        </w:rPr>
        <w:t xml:space="preserve"> in receipt of earned income</w:t>
      </w:r>
      <w:r w:rsidR="0086031C" w:rsidRPr="00F40324">
        <w:rPr>
          <w:b/>
          <w:bCs/>
        </w:rPr>
        <w:t>, th</w:t>
      </w:r>
      <w:r w:rsidR="00BC7386">
        <w:rPr>
          <w:b/>
          <w:bCs/>
        </w:rPr>
        <w:t>e award is</w:t>
      </w:r>
      <w:r w:rsidR="0086031C" w:rsidRPr="00F40324">
        <w:rPr>
          <w:b/>
          <w:bCs/>
        </w:rPr>
        <w:t xml:space="preserve"> </w:t>
      </w:r>
    </w:p>
    <w:p w:rsidR="005F662D" w:rsidRPr="00F40324" w:rsidRDefault="0086031C" w:rsidP="00866AE2">
      <w:pPr>
        <w:pStyle w:val="CM10"/>
        <w:numPr>
          <w:ilvl w:val="0"/>
          <w:numId w:val="9"/>
        </w:numPr>
        <w:jc w:val="both"/>
      </w:pPr>
      <w:r w:rsidRPr="00F40324">
        <w:t xml:space="preserve">the actual liability for the Council Tax </w:t>
      </w:r>
    </w:p>
    <w:p w:rsidR="005F662D" w:rsidRPr="00F40324" w:rsidRDefault="00BC7386" w:rsidP="00866AE2">
      <w:pPr>
        <w:pStyle w:val="CM10"/>
        <w:numPr>
          <w:ilvl w:val="0"/>
          <w:numId w:val="9"/>
        </w:numPr>
        <w:jc w:val="both"/>
      </w:pPr>
      <w:r>
        <w:t xml:space="preserve">less the maximum Council Tax Support, depending on earnings threshold as per the table below </w:t>
      </w:r>
    </w:p>
    <w:p w:rsidR="005F662D" w:rsidRPr="00F40324" w:rsidRDefault="00BC7386" w:rsidP="00866AE2">
      <w:pPr>
        <w:pStyle w:val="CM10"/>
        <w:numPr>
          <w:ilvl w:val="0"/>
          <w:numId w:val="9"/>
        </w:numPr>
        <w:jc w:val="both"/>
      </w:pPr>
      <w:r w:rsidRPr="00F40324">
        <w:t xml:space="preserve">less any non-dependent deductions set out in </w:t>
      </w:r>
      <w:r w:rsidR="00174157" w:rsidRPr="00174157">
        <w:t>appendix B</w:t>
      </w:r>
    </w:p>
    <w:p w:rsidR="00BC7386" w:rsidRDefault="00BC7386" w:rsidP="00866AE2">
      <w:pPr>
        <w:pStyle w:val="Default"/>
        <w:jc w:val="both"/>
      </w:pPr>
    </w:p>
    <w:p w:rsidR="00866AE2" w:rsidRDefault="00866AE2" w:rsidP="00866AE2">
      <w:pPr>
        <w:pStyle w:val="Default"/>
        <w:jc w:val="both"/>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120"/>
        <w:gridCol w:w="2560"/>
      </w:tblGrid>
      <w:tr w:rsidR="00BC7386" w:rsidRPr="005E3ACB" w:rsidTr="00866AE2">
        <w:trPr>
          <w:trHeight w:val="260"/>
          <w:jc w:val="center"/>
        </w:trPr>
        <w:tc>
          <w:tcPr>
            <w:tcW w:w="2400" w:type="dxa"/>
            <w:shd w:val="clear" w:color="000000" w:fill="9BC2E6"/>
            <w:noWrap/>
            <w:vAlign w:val="center"/>
            <w:hideMark/>
          </w:tcPr>
          <w:p w:rsidR="00BC7386" w:rsidRPr="005E3ACB" w:rsidRDefault="00BC7386" w:rsidP="00B275A9">
            <w:pPr>
              <w:spacing w:after="0" w:line="240" w:lineRule="auto"/>
              <w:jc w:val="center"/>
              <w:rPr>
                <w:rFonts w:eastAsia="Times New Roman" w:cs="Calibri"/>
                <w:b/>
                <w:bCs/>
                <w:sz w:val="20"/>
                <w:szCs w:val="20"/>
              </w:rPr>
            </w:pPr>
            <w:r>
              <w:rPr>
                <w:rFonts w:eastAsia="Times New Roman" w:cs="Calibri"/>
                <w:b/>
                <w:bCs/>
                <w:sz w:val="20"/>
                <w:szCs w:val="20"/>
              </w:rPr>
              <w:t xml:space="preserve">Income </w:t>
            </w:r>
            <w:r w:rsidRPr="005E3ACB">
              <w:rPr>
                <w:rFonts w:eastAsia="Times New Roman" w:cs="Calibri"/>
                <w:b/>
                <w:bCs/>
                <w:sz w:val="20"/>
                <w:szCs w:val="20"/>
              </w:rPr>
              <w:t>Band</w:t>
            </w:r>
          </w:p>
        </w:tc>
        <w:tc>
          <w:tcPr>
            <w:tcW w:w="2120" w:type="dxa"/>
            <w:shd w:val="clear" w:color="000000" w:fill="9BC2E6"/>
            <w:vAlign w:val="center"/>
            <w:hideMark/>
          </w:tcPr>
          <w:p w:rsidR="00BC7386" w:rsidRPr="005E3ACB" w:rsidRDefault="00CB2BF8" w:rsidP="00CB2BF8">
            <w:pPr>
              <w:spacing w:after="0" w:line="240" w:lineRule="auto"/>
              <w:rPr>
                <w:rFonts w:eastAsia="Times New Roman" w:cs="Calibri"/>
                <w:b/>
                <w:bCs/>
                <w:sz w:val="20"/>
                <w:szCs w:val="20"/>
              </w:rPr>
            </w:pPr>
            <w:r>
              <w:rPr>
                <w:rFonts w:eastAsia="Times New Roman" w:cs="Calibri"/>
                <w:b/>
                <w:bCs/>
                <w:sz w:val="20"/>
                <w:szCs w:val="20"/>
              </w:rPr>
              <w:t>Contribution towards Council Tax Liability</w:t>
            </w:r>
          </w:p>
        </w:tc>
        <w:tc>
          <w:tcPr>
            <w:tcW w:w="2560" w:type="dxa"/>
            <w:shd w:val="clear" w:color="000000" w:fill="9BC2E6"/>
            <w:vAlign w:val="center"/>
            <w:hideMark/>
          </w:tcPr>
          <w:p w:rsidR="00BC7386" w:rsidRPr="005E3ACB" w:rsidRDefault="00BC7386" w:rsidP="00B275A9">
            <w:pPr>
              <w:spacing w:after="0" w:line="240" w:lineRule="auto"/>
              <w:jc w:val="center"/>
              <w:rPr>
                <w:rFonts w:eastAsia="Times New Roman" w:cs="Calibri"/>
                <w:b/>
                <w:bCs/>
                <w:sz w:val="20"/>
                <w:szCs w:val="20"/>
              </w:rPr>
            </w:pPr>
            <w:r w:rsidRPr="005E3ACB">
              <w:rPr>
                <w:rFonts w:eastAsia="Times New Roman" w:cs="Calibri"/>
                <w:b/>
                <w:bCs/>
                <w:sz w:val="20"/>
                <w:szCs w:val="20"/>
              </w:rPr>
              <w:t>Earnings threshold (monthly)</w:t>
            </w:r>
          </w:p>
        </w:tc>
      </w:tr>
      <w:tr w:rsidR="00BC7386" w:rsidRPr="005E3ACB" w:rsidTr="00866AE2">
        <w:trPr>
          <w:trHeight w:val="267"/>
          <w:jc w:val="center"/>
        </w:trPr>
        <w:tc>
          <w:tcPr>
            <w:tcW w:w="2400" w:type="dxa"/>
            <w:shd w:val="clear" w:color="000000" w:fill="DDEBF7"/>
            <w:noWrap/>
            <w:hideMark/>
          </w:tcPr>
          <w:p w:rsidR="00BC7386" w:rsidRPr="005E3ACB" w:rsidRDefault="00BC7386" w:rsidP="00866AE2">
            <w:pPr>
              <w:spacing w:after="0" w:line="240" w:lineRule="auto"/>
              <w:jc w:val="both"/>
              <w:rPr>
                <w:rFonts w:eastAsia="Times New Roman" w:cs="Calibri"/>
                <w:color w:val="000000"/>
                <w:sz w:val="20"/>
                <w:szCs w:val="20"/>
              </w:rPr>
            </w:pPr>
            <w:r w:rsidRPr="005E3ACB">
              <w:rPr>
                <w:sz w:val="20"/>
                <w:szCs w:val="20"/>
              </w:rPr>
              <w:t>1</w:t>
            </w:r>
          </w:p>
        </w:tc>
        <w:tc>
          <w:tcPr>
            <w:tcW w:w="2120" w:type="dxa"/>
            <w:shd w:val="clear" w:color="000000" w:fill="DDEBF7"/>
            <w:noWrap/>
            <w:hideMark/>
          </w:tcPr>
          <w:p w:rsidR="00BC7386" w:rsidRPr="005E3ACB" w:rsidRDefault="00BC7386" w:rsidP="00866AE2">
            <w:pPr>
              <w:spacing w:after="0"/>
              <w:jc w:val="both"/>
              <w:rPr>
                <w:sz w:val="20"/>
                <w:szCs w:val="20"/>
              </w:rPr>
            </w:pPr>
            <w:r>
              <w:rPr>
                <w:sz w:val="20"/>
                <w:szCs w:val="20"/>
              </w:rPr>
              <w:t>28</w:t>
            </w:r>
            <w:r w:rsidRPr="005E3ACB">
              <w:rPr>
                <w:sz w:val="20"/>
                <w:szCs w:val="20"/>
              </w:rPr>
              <w:t>.00%</w:t>
            </w:r>
          </w:p>
        </w:tc>
        <w:tc>
          <w:tcPr>
            <w:tcW w:w="2560" w:type="dxa"/>
            <w:shd w:val="clear" w:color="000000" w:fill="DDEBF7"/>
            <w:noWrap/>
            <w:hideMark/>
          </w:tcPr>
          <w:p w:rsidR="00BC7386" w:rsidRPr="005E3ACB" w:rsidRDefault="00BC7386" w:rsidP="00866AE2">
            <w:pPr>
              <w:spacing w:after="0"/>
              <w:jc w:val="both"/>
              <w:rPr>
                <w:sz w:val="20"/>
                <w:szCs w:val="20"/>
              </w:rPr>
            </w:pPr>
            <w:r w:rsidRPr="005E3ACB">
              <w:rPr>
                <w:sz w:val="20"/>
                <w:szCs w:val="20"/>
              </w:rPr>
              <w:t>No earnings</w:t>
            </w:r>
          </w:p>
        </w:tc>
      </w:tr>
      <w:tr w:rsidR="00BC7386" w:rsidRPr="005E3ACB" w:rsidTr="00866AE2">
        <w:trPr>
          <w:trHeight w:val="154"/>
          <w:jc w:val="center"/>
        </w:trPr>
        <w:tc>
          <w:tcPr>
            <w:tcW w:w="2400" w:type="dxa"/>
            <w:shd w:val="clear" w:color="000000" w:fill="DDEBF7"/>
            <w:noWrap/>
            <w:hideMark/>
          </w:tcPr>
          <w:p w:rsidR="00BC7386" w:rsidRPr="005E3ACB" w:rsidRDefault="00BC7386" w:rsidP="00866AE2">
            <w:pPr>
              <w:spacing w:after="0" w:line="240" w:lineRule="auto"/>
              <w:jc w:val="both"/>
              <w:rPr>
                <w:rFonts w:eastAsia="Times New Roman" w:cs="Calibri"/>
                <w:sz w:val="20"/>
                <w:szCs w:val="20"/>
              </w:rPr>
            </w:pPr>
            <w:r w:rsidRPr="005E3ACB">
              <w:rPr>
                <w:sz w:val="20"/>
                <w:szCs w:val="20"/>
              </w:rPr>
              <w:t>2</w:t>
            </w:r>
          </w:p>
        </w:tc>
        <w:tc>
          <w:tcPr>
            <w:tcW w:w="2120" w:type="dxa"/>
            <w:shd w:val="clear" w:color="000000" w:fill="DDEBF7"/>
            <w:noWrap/>
            <w:hideMark/>
          </w:tcPr>
          <w:p w:rsidR="00BC7386" w:rsidRPr="005E3ACB" w:rsidRDefault="00BC7386" w:rsidP="00866AE2">
            <w:pPr>
              <w:spacing w:after="0"/>
              <w:jc w:val="both"/>
              <w:rPr>
                <w:sz w:val="20"/>
                <w:szCs w:val="20"/>
              </w:rPr>
            </w:pPr>
            <w:r>
              <w:rPr>
                <w:sz w:val="20"/>
                <w:szCs w:val="20"/>
              </w:rPr>
              <w:t>48</w:t>
            </w:r>
            <w:r w:rsidRPr="005E3ACB">
              <w:rPr>
                <w:sz w:val="20"/>
                <w:szCs w:val="20"/>
              </w:rPr>
              <w:t>.00%</w:t>
            </w:r>
          </w:p>
        </w:tc>
        <w:tc>
          <w:tcPr>
            <w:tcW w:w="2560" w:type="dxa"/>
            <w:shd w:val="clear" w:color="000000" w:fill="DDEBF7"/>
            <w:noWrap/>
            <w:hideMark/>
          </w:tcPr>
          <w:p w:rsidR="00BC7386" w:rsidRPr="005E3ACB" w:rsidRDefault="00BC7386" w:rsidP="00866AE2">
            <w:pPr>
              <w:spacing w:after="0"/>
              <w:jc w:val="both"/>
              <w:rPr>
                <w:sz w:val="20"/>
                <w:szCs w:val="20"/>
              </w:rPr>
            </w:pPr>
            <w:r w:rsidRPr="005E3ACB">
              <w:rPr>
                <w:sz w:val="20"/>
                <w:szCs w:val="20"/>
              </w:rPr>
              <w:t>&lt;£500</w:t>
            </w:r>
          </w:p>
        </w:tc>
      </w:tr>
      <w:tr w:rsidR="00BC7386" w:rsidRPr="005E3ACB" w:rsidTr="00866AE2">
        <w:trPr>
          <w:trHeight w:val="234"/>
          <w:jc w:val="center"/>
        </w:trPr>
        <w:tc>
          <w:tcPr>
            <w:tcW w:w="2400" w:type="dxa"/>
            <w:shd w:val="clear" w:color="000000" w:fill="DDEBF7"/>
            <w:noWrap/>
            <w:hideMark/>
          </w:tcPr>
          <w:p w:rsidR="00BC7386" w:rsidRPr="005E3ACB" w:rsidRDefault="00BC7386" w:rsidP="00866AE2">
            <w:pPr>
              <w:spacing w:after="0" w:line="240" w:lineRule="auto"/>
              <w:jc w:val="both"/>
              <w:rPr>
                <w:rFonts w:eastAsia="Times New Roman" w:cs="Calibri"/>
                <w:sz w:val="20"/>
                <w:szCs w:val="20"/>
              </w:rPr>
            </w:pPr>
            <w:r w:rsidRPr="005E3ACB">
              <w:rPr>
                <w:sz w:val="20"/>
                <w:szCs w:val="20"/>
              </w:rPr>
              <w:t>3</w:t>
            </w:r>
          </w:p>
        </w:tc>
        <w:tc>
          <w:tcPr>
            <w:tcW w:w="2120" w:type="dxa"/>
            <w:shd w:val="clear" w:color="000000" w:fill="DDEBF7"/>
            <w:noWrap/>
            <w:hideMark/>
          </w:tcPr>
          <w:p w:rsidR="00BC7386" w:rsidRPr="005E3ACB" w:rsidRDefault="00BC7386" w:rsidP="00866AE2">
            <w:pPr>
              <w:spacing w:after="0"/>
              <w:jc w:val="both"/>
              <w:rPr>
                <w:sz w:val="20"/>
                <w:szCs w:val="20"/>
              </w:rPr>
            </w:pPr>
            <w:r>
              <w:rPr>
                <w:sz w:val="20"/>
                <w:szCs w:val="20"/>
              </w:rPr>
              <w:t>56</w:t>
            </w:r>
            <w:r w:rsidRPr="005E3ACB">
              <w:rPr>
                <w:sz w:val="20"/>
                <w:szCs w:val="20"/>
              </w:rPr>
              <w:t>.00%</w:t>
            </w:r>
          </w:p>
        </w:tc>
        <w:tc>
          <w:tcPr>
            <w:tcW w:w="2560" w:type="dxa"/>
            <w:shd w:val="clear" w:color="000000" w:fill="DDEBF7"/>
            <w:noWrap/>
            <w:hideMark/>
          </w:tcPr>
          <w:p w:rsidR="00BC7386" w:rsidRPr="005E3ACB" w:rsidRDefault="00BC7386" w:rsidP="00866AE2">
            <w:pPr>
              <w:spacing w:after="0"/>
              <w:jc w:val="both"/>
              <w:rPr>
                <w:sz w:val="20"/>
                <w:szCs w:val="20"/>
              </w:rPr>
            </w:pPr>
            <w:r w:rsidRPr="005E3ACB">
              <w:rPr>
                <w:sz w:val="20"/>
                <w:szCs w:val="20"/>
              </w:rPr>
              <w:t>£500.01-£800</w:t>
            </w:r>
          </w:p>
        </w:tc>
      </w:tr>
      <w:tr w:rsidR="00BC7386" w:rsidRPr="005E3ACB" w:rsidTr="00866AE2">
        <w:trPr>
          <w:trHeight w:val="234"/>
          <w:jc w:val="center"/>
        </w:trPr>
        <w:tc>
          <w:tcPr>
            <w:tcW w:w="2400" w:type="dxa"/>
            <w:shd w:val="clear" w:color="000000" w:fill="DDEBF7"/>
            <w:noWrap/>
            <w:hideMark/>
          </w:tcPr>
          <w:p w:rsidR="00BC7386" w:rsidRPr="005E3ACB" w:rsidRDefault="00BC7386" w:rsidP="00866AE2">
            <w:pPr>
              <w:spacing w:after="0" w:line="240" w:lineRule="auto"/>
              <w:jc w:val="both"/>
              <w:rPr>
                <w:rFonts w:eastAsia="Times New Roman" w:cs="Calibri"/>
                <w:sz w:val="20"/>
                <w:szCs w:val="20"/>
              </w:rPr>
            </w:pPr>
            <w:r w:rsidRPr="005E3ACB">
              <w:rPr>
                <w:sz w:val="20"/>
                <w:szCs w:val="20"/>
              </w:rPr>
              <w:t>4</w:t>
            </w:r>
          </w:p>
        </w:tc>
        <w:tc>
          <w:tcPr>
            <w:tcW w:w="2120" w:type="dxa"/>
            <w:shd w:val="clear" w:color="000000" w:fill="DDEBF7"/>
            <w:noWrap/>
            <w:hideMark/>
          </w:tcPr>
          <w:p w:rsidR="00BC7386" w:rsidRPr="005E3ACB" w:rsidRDefault="00BC7386" w:rsidP="00866AE2">
            <w:pPr>
              <w:spacing w:after="0"/>
              <w:jc w:val="both"/>
              <w:rPr>
                <w:sz w:val="20"/>
                <w:szCs w:val="20"/>
              </w:rPr>
            </w:pPr>
            <w:r>
              <w:rPr>
                <w:sz w:val="20"/>
                <w:szCs w:val="20"/>
              </w:rPr>
              <w:t>64</w:t>
            </w:r>
            <w:r w:rsidRPr="005E3ACB">
              <w:rPr>
                <w:sz w:val="20"/>
                <w:szCs w:val="20"/>
              </w:rPr>
              <w:t>.00%</w:t>
            </w:r>
          </w:p>
        </w:tc>
        <w:tc>
          <w:tcPr>
            <w:tcW w:w="2560" w:type="dxa"/>
            <w:shd w:val="clear" w:color="000000" w:fill="DDEBF7"/>
            <w:noWrap/>
            <w:hideMark/>
          </w:tcPr>
          <w:p w:rsidR="00BC7386" w:rsidRPr="005E3ACB" w:rsidRDefault="00BC7386" w:rsidP="00866AE2">
            <w:pPr>
              <w:spacing w:after="0"/>
              <w:jc w:val="both"/>
              <w:rPr>
                <w:sz w:val="20"/>
                <w:szCs w:val="20"/>
              </w:rPr>
            </w:pPr>
            <w:r w:rsidRPr="005E3ACB">
              <w:rPr>
                <w:sz w:val="20"/>
                <w:szCs w:val="20"/>
              </w:rPr>
              <w:t>£800.01-£1100</w:t>
            </w:r>
          </w:p>
        </w:tc>
      </w:tr>
      <w:tr w:rsidR="00BC7386" w:rsidRPr="005E3ACB" w:rsidTr="00866AE2">
        <w:trPr>
          <w:trHeight w:val="68"/>
          <w:jc w:val="center"/>
        </w:trPr>
        <w:tc>
          <w:tcPr>
            <w:tcW w:w="2400" w:type="dxa"/>
            <w:shd w:val="clear" w:color="000000" w:fill="DDEBF7"/>
            <w:noWrap/>
            <w:hideMark/>
          </w:tcPr>
          <w:p w:rsidR="00BC7386" w:rsidRPr="005E3ACB" w:rsidRDefault="00BC7386" w:rsidP="00866AE2">
            <w:pPr>
              <w:spacing w:after="0" w:line="240" w:lineRule="auto"/>
              <w:jc w:val="both"/>
              <w:rPr>
                <w:rFonts w:eastAsia="Times New Roman" w:cs="Calibri"/>
                <w:sz w:val="20"/>
                <w:szCs w:val="20"/>
              </w:rPr>
            </w:pPr>
            <w:r w:rsidRPr="005E3ACB">
              <w:rPr>
                <w:sz w:val="20"/>
                <w:szCs w:val="20"/>
              </w:rPr>
              <w:t>5</w:t>
            </w:r>
          </w:p>
        </w:tc>
        <w:tc>
          <w:tcPr>
            <w:tcW w:w="2120" w:type="dxa"/>
            <w:shd w:val="clear" w:color="000000" w:fill="DDEBF7"/>
            <w:noWrap/>
            <w:hideMark/>
          </w:tcPr>
          <w:p w:rsidR="00BC7386" w:rsidRPr="005E3ACB" w:rsidRDefault="00BC7386" w:rsidP="00866AE2">
            <w:pPr>
              <w:spacing w:after="0"/>
              <w:jc w:val="both"/>
              <w:rPr>
                <w:sz w:val="20"/>
                <w:szCs w:val="20"/>
              </w:rPr>
            </w:pPr>
            <w:r>
              <w:rPr>
                <w:sz w:val="20"/>
                <w:szCs w:val="20"/>
              </w:rPr>
              <w:t>72</w:t>
            </w:r>
            <w:r w:rsidRPr="005E3ACB">
              <w:rPr>
                <w:sz w:val="20"/>
                <w:szCs w:val="20"/>
              </w:rPr>
              <w:t>.00%</w:t>
            </w:r>
          </w:p>
        </w:tc>
        <w:tc>
          <w:tcPr>
            <w:tcW w:w="2560" w:type="dxa"/>
            <w:shd w:val="clear" w:color="000000" w:fill="DDEBF7"/>
            <w:noWrap/>
            <w:hideMark/>
          </w:tcPr>
          <w:p w:rsidR="00BC7386" w:rsidRPr="005E3ACB" w:rsidRDefault="00BC7386" w:rsidP="00866AE2">
            <w:pPr>
              <w:spacing w:after="0"/>
              <w:jc w:val="both"/>
              <w:rPr>
                <w:sz w:val="20"/>
                <w:szCs w:val="20"/>
              </w:rPr>
            </w:pPr>
            <w:r w:rsidRPr="005E3ACB">
              <w:rPr>
                <w:sz w:val="20"/>
                <w:szCs w:val="20"/>
              </w:rPr>
              <w:t>£1100.01-£1400</w:t>
            </w:r>
          </w:p>
        </w:tc>
      </w:tr>
      <w:tr w:rsidR="00BC7386" w:rsidRPr="005E3ACB" w:rsidTr="00866AE2">
        <w:trPr>
          <w:trHeight w:val="68"/>
          <w:jc w:val="center"/>
        </w:trPr>
        <w:tc>
          <w:tcPr>
            <w:tcW w:w="2400" w:type="dxa"/>
            <w:shd w:val="clear" w:color="000000" w:fill="DDEBF7"/>
            <w:noWrap/>
          </w:tcPr>
          <w:p w:rsidR="00BC7386" w:rsidRPr="005E3ACB" w:rsidRDefault="00BC7386" w:rsidP="00866AE2">
            <w:pPr>
              <w:spacing w:after="0" w:line="240" w:lineRule="auto"/>
              <w:jc w:val="both"/>
              <w:rPr>
                <w:rFonts w:eastAsia="Times New Roman" w:cs="Calibri"/>
                <w:sz w:val="20"/>
                <w:szCs w:val="20"/>
              </w:rPr>
            </w:pPr>
            <w:r w:rsidRPr="005E3ACB">
              <w:rPr>
                <w:sz w:val="20"/>
                <w:szCs w:val="20"/>
              </w:rPr>
              <w:t>6</w:t>
            </w:r>
          </w:p>
        </w:tc>
        <w:tc>
          <w:tcPr>
            <w:tcW w:w="2120" w:type="dxa"/>
            <w:shd w:val="clear" w:color="000000" w:fill="DDEBF7"/>
            <w:noWrap/>
          </w:tcPr>
          <w:p w:rsidR="00BC7386" w:rsidRPr="005E3ACB" w:rsidRDefault="00BC7386" w:rsidP="00866AE2">
            <w:pPr>
              <w:spacing w:after="0"/>
              <w:jc w:val="both"/>
              <w:rPr>
                <w:sz w:val="20"/>
                <w:szCs w:val="20"/>
              </w:rPr>
            </w:pPr>
            <w:r>
              <w:rPr>
                <w:sz w:val="20"/>
                <w:szCs w:val="20"/>
              </w:rPr>
              <w:t>80</w:t>
            </w:r>
            <w:r w:rsidRPr="005E3ACB">
              <w:rPr>
                <w:sz w:val="20"/>
                <w:szCs w:val="20"/>
              </w:rPr>
              <w:t>.00%</w:t>
            </w:r>
          </w:p>
        </w:tc>
        <w:tc>
          <w:tcPr>
            <w:tcW w:w="2560" w:type="dxa"/>
            <w:shd w:val="clear" w:color="000000" w:fill="DDEBF7"/>
            <w:noWrap/>
          </w:tcPr>
          <w:p w:rsidR="00BC7386" w:rsidRPr="005E3ACB" w:rsidRDefault="00BC7386" w:rsidP="00866AE2">
            <w:pPr>
              <w:spacing w:after="0"/>
              <w:jc w:val="both"/>
              <w:rPr>
                <w:sz w:val="20"/>
                <w:szCs w:val="20"/>
              </w:rPr>
            </w:pPr>
            <w:r w:rsidRPr="005E3ACB">
              <w:rPr>
                <w:sz w:val="20"/>
                <w:szCs w:val="20"/>
              </w:rPr>
              <w:t>£1400.01-£1700</w:t>
            </w:r>
          </w:p>
        </w:tc>
      </w:tr>
      <w:tr w:rsidR="00BC7386" w:rsidRPr="005E3ACB" w:rsidTr="00866AE2">
        <w:trPr>
          <w:trHeight w:val="68"/>
          <w:jc w:val="center"/>
        </w:trPr>
        <w:tc>
          <w:tcPr>
            <w:tcW w:w="2400" w:type="dxa"/>
            <w:shd w:val="clear" w:color="000000" w:fill="DDEBF7"/>
            <w:noWrap/>
          </w:tcPr>
          <w:p w:rsidR="00BC7386" w:rsidRPr="005E3ACB" w:rsidRDefault="00BC7386" w:rsidP="00866AE2">
            <w:pPr>
              <w:spacing w:after="0" w:line="240" w:lineRule="auto"/>
              <w:jc w:val="both"/>
              <w:rPr>
                <w:rFonts w:eastAsia="Times New Roman" w:cs="Calibri"/>
                <w:sz w:val="20"/>
                <w:szCs w:val="20"/>
              </w:rPr>
            </w:pPr>
            <w:r w:rsidRPr="005E3ACB">
              <w:rPr>
                <w:sz w:val="20"/>
                <w:szCs w:val="20"/>
              </w:rPr>
              <w:t>7</w:t>
            </w:r>
          </w:p>
        </w:tc>
        <w:tc>
          <w:tcPr>
            <w:tcW w:w="2120" w:type="dxa"/>
            <w:shd w:val="clear" w:color="000000" w:fill="DDEBF7"/>
            <w:noWrap/>
          </w:tcPr>
          <w:p w:rsidR="00BC7386" w:rsidRPr="005E3ACB" w:rsidRDefault="00BC7386" w:rsidP="00866AE2">
            <w:pPr>
              <w:spacing w:after="0"/>
              <w:jc w:val="both"/>
              <w:rPr>
                <w:sz w:val="20"/>
                <w:szCs w:val="20"/>
              </w:rPr>
            </w:pPr>
            <w:r>
              <w:rPr>
                <w:sz w:val="20"/>
                <w:szCs w:val="20"/>
              </w:rPr>
              <w:t>88</w:t>
            </w:r>
            <w:r w:rsidRPr="005E3ACB">
              <w:rPr>
                <w:sz w:val="20"/>
                <w:szCs w:val="20"/>
              </w:rPr>
              <w:t>.00%</w:t>
            </w:r>
          </w:p>
        </w:tc>
        <w:tc>
          <w:tcPr>
            <w:tcW w:w="2560" w:type="dxa"/>
            <w:shd w:val="clear" w:color="000000" w:fill="DDEBF7"/>
            <w:noWrap/>
          </w:tcPr>
          <w:p w:rsidR="00BC7386" w:rsidRPr="005E3ACB" w:rsidRDefault="00BC7386" w:rsidP="00866AE2">
            <w:pPr>
              <w:spacing w:after="0"/>
              <w:jc w:val="both"/>
              <w:rPr>
                <w:sz w:val="20"/>
                <w:szCs w:val="20"/>
              </w:rPr>
            </w:pPr>
            <w:r w:rsidRPr="005E3ACB">
              <w:rPr>
                <w:sz w:val="20"/>
                <w:szCs w:val="20"/>
              </w:rPr>
              <w:t>£1700.01-£2000</w:t>
            </w:r>
          </w:p>
        </w:tc>
      </w:tr>
    </w:tbl>
    <w:p w:rsidR="00BC7386" w:rsidRPr="00BC7386" w:rsidRDefault="00BC7386" w:rsidP="00866AE2">
      <w:pPr>
        <w:pStyle w:val="Default"/>
        <w:jc w:val="both"/>
      </w:pPr>
    </w:p>
    <w:p w:rsidR="005F662D" w:rsidRDefault="00582BFC" w:rsidP="00866AE2">
      <w:pPr>
        <w:pStyle w:val="Heading1"/>
        <w:jc w:val="both"/>
      </w:pPr>
      <w:bookmarkStart w:id="6" w:name="_Toc527460506"/>
      <w:r>
        <w:t>6</w:t>
      </w:r>
      <w:r w:rsidR="0086031C">
        <w:t xml:space="preserve"> Capital</w:t>
      </w:r>
      <w:bookmarkEnd w:id="6"/>
      <w:r w:rsidR="0086031C">
        <w:t xml:space="preserve"> </w:t>
      </w:r>
    </w:p>
    <w:p w:rsidR="00866AE2" w:rsidRDefault="00866AE2" w:rsidP="00866AE2">
      <w:pPr>
        <w:pStyle w:val="NoSpacing"/>
      </w:pPr>
    </w:p>
    <w:p w:rsidR="00866AE2" w:rsidRDefault="001B1E0F" w:rsidP="00866AE2">
      <w:pPr>
        <w:pStyle w:val="NoSpacing"/>
        <w:rPr>
          <w:rFonts w:ascii="Arial" w:hAnsi="Arial" w:cs="Arial"/>
          <w:sz w:val="24"/>
        </w:rPr>
      </w:pPr>
      <w:r w:rsidRPr="00866AE2">
        <w:rPr>
          <w:rFonts w:ascii="Arial" w:hAnsi="Arial" w:cs="Arial"/>
          <w:sz w:val="24"/>
        </w:rPr>
        <w:t>T</w:t>
      </w:r>
      <w:r w:rsidR="00BC7386" w:rsidRPr="00866AE2">
        <w:rPr>
          <w:rFonts w:ascii="Arial" w:hAnsi="Arial" w:cs="Arial"/>
          <w:sz w:val="24"/>
        </w:rPr>
        <w:t xml:space="preserve">he </w:t>
      </w:r>
      <w:r w:rsidR="0086031C" w:rsidRPr="00866AE2">
        <w:rPr>
          <w:rFonts w:ascii="Arial" w:hAnsi="Arial" w:cs="Arial"/>
          <w:sz w:val="24"/>
        </w:rPr>
        <w:t>capital rules for calculating eligibility for a reduction are as</w:t>
      </w:r>
      <w:r w:rsidR="00CE1C25" w:rsidRPr="00866AE2">
        <w:rPr>
          <w:rFonts w:ascii="Arial" w:hAnsi="Arial" w:cs="Arial"/>
          <w:sz w:val="24"/>
        </w:rPr>
        <w:t xml:space="preserve"> set out</w:t>
      </w:r>
      <w:r w:rsidRPr="00866AE2">
        <w:rPr>
          <w:rFonts w:ascii="Arial" w:hAnsi="Arial" w:cs="Arial"/>
          <w:sz w:val="24"/>
        </w:rPr>
        <w:t xml:space="preserve"> in the default scheme, save that for working age – </w:t>
      </w:r>
      <w:r w:rsidR="00BC7386" w:rsidRPr="00866AE2">
        <w:rPr>
          <w:rFonts w:ascii="Arial" w:hAnsi="Arial" w:cs="Arial"/>
          <w:sz w:val="24"/>
        </w:rPr>
        <w:t>where capital exceeds £6,000, there will be no entitlement to Council Tax Support.</w:t>
      </w:r>
    </w:p>
    <w:p w:rsidR="00F13CB3" w:rsidRDefault="00F13CB3" w:rsidP="00866AE2">
      <w:pPr>
        <w:pStyle w:val="NoSpacing"/>
        <w:rPr>
          <w:rFonts w:ascii="Arial" w:hAnsi="Arial" w:cs="Arial"/>
          <w:sz w:val="24"/>
        </w:rPr>
      </w:pPr>
    </w:p>
    <w:p w:rsidR="00F13CB3" w:rsidRPr="00866AE2" w:rsidRDefault="00F13CB3" w:rsidP="00866AE2">
      <w:pPr>
        <w:pStyle w:val="NoSpacing"/>
        <w:rPr>
          <w:rFonts w:ascii="Arial" w:hAnsi="Arial" w:cs="Arial"/>
          <w:sz w:val="24"/>
        </w:rPr>
      </w:pPr>
      <w:r>
        <w:rPr>
          <w:rFonts w:ascii="Arial" w:hAnsi="Arial" w:cs="Arial"/>
          <w:sz w:val="24"/>
        </w:rPr>
        <w:t xml:space="preserve">Income and capital payments in relation the Windrush Compensation Scheme will be disregarded in line </w:t>
      </w:r>
      <w:r w:rsidR="008D477D">
        <w:rPr>
          <w:rFonts w:ascii="Arial" w:hAnsi="Arial" w:cs="Arial"/>
          <w:sz w:val="24"/>
        </w:rPr>
        <w:t>with Housing B</w:t>
      </w:r>
      <w:r>
        <w:rPr>
          <w:rFonts w:ascii="Arial" w:hAnsi="Arial" w:cs="Arial"/>
          <w:sz w:val="24"/>
        </w:rPr>
        <w:t>enefit regulations.</w:t>
      </w:r>
    </w:p>
    <w:p w:rsidR="00866AE2" w:rsidRPr="00866AE2" w:rsidRDefault="00866AE2" w:rsidP="00866AE2">
      <w:pPr>
        <w:pStyle w:val="Default"/>
      </w:pPr>
    </w:p>
    <w:p w:rsidR="005F662D" w:rsidRDefault="00582BFC" w:rsidP="00866AE2">
      <w:pPr>
        <w:pStyle w:val="Heading1"/>
        <w:jc w:val="both"/>
      </w:pPr>
      <w:bookmarkStart w:id="7" w:name="_Toc527460507"/>
      <w:r>
        <w:t>7</w:t>
      </w:r>
      <w:r w:rsidR="0086031C">
        <w:t xml:space="preserve"> Extended reductions and qualifying conditions for an extended reduction</w:t>
      </w:r>
      <w:bookmarkEnd w:id="7"/>
      <w:r w:rsidR="0086031C">
        <w:t xml:space="preserve"> </w:t>
      </w:r>
    </w:p>
    <w:p w:rsidR="00C82670" w:rsidRDefault="00C82670" w:rsidP="00866AE2">
      <w:pPr>
        <w:pStyle w:val="NoSpacing"/>
      </w:pPr>
    </w:p>
    <w:p w:rsidR="005F662D" w:rsidRPr="00866AE2" w:rsidRDefault="0086031C" w:rsidP="00866AE2">
      <w:pPr>
        <w:pStyle w:val="NoSpacing"/>
        <w:rPr>
          <w:rFonts w:ascii="Arial" w:hAnsi="Arial" w:cs="Arial"/>
          <w:sz w:val="24"/>
          <w:szCs w:val="24"/>
        </w:rPr>
      </w:pPr>
      <w:r w:rsidRPr="00866AE2">
        <w:rPr>
          <w:rFonts w:ascii="Arial" w:hAnsi="Arial" w:cs="Arial"/>
          <w:sz w:val="24"/>
          <w:szCs w:val="24"/>
        </w:rPr>
        <w:t>Extended reductions and qualifying conditions for extended reductions for those of pensionable age will be as set out in the default scheme</w:t>
      </w:r>
      <w:r w:rsidR="00CE1C25" w:rsidRPr="00866AE2">
        <w:rPr>
          <w:rFonts w:ascii="Arial" w:hAnsi="Arial" w:cs="Arial"/>
          <w:sz w:val="24"/>
          <w:szCs w:val="24"/>
        </w:rPr>
        <w:t>.</w:t>
      </w:r>
      <w:r w:rsidRPr="00866AE2">
        <w:rPr>
          <w:rFonts w:ascii="Arial" w:hAnsi="Arial" w:cs="Arial"/>
          <w:sz w:val="24"/>
          <w:szCs w:val="24"/>
        </w:rPr>
        <w:t xml:space="preserve"> </w:t>
      </w:r>
      <w:r w:rsidR="00A776F8" w:rsidRPr="00866AE2">
        <w:rPr>
          <w:rFonts w:ascii="Arial" w:hAnsi="Arial" w:cs="Arial"/>
          <w:sz w:val="24"/>
          <w:szCs w:val="24"/>
        </w:rPr>
        <w:t xml:space="preserve"> </w:t>
      </w:r>
    </w:p>
    <w:p w:rsidR="00866AE2" w:rsidRPr="00866AE2" w:rsidRDefault="00866AE2" w:rsidP="00866AE2">
      <w:pPr>
        <w:pStyle w:val="NoSpacing"/>
      </w:pPr>
    </w:p>
    <w:p w:rsidR="005F662D" w:rsidRDefault="00582BFC" w:rsidP="00866AE2">
      <w:pPr>
        <w:pStyle w:val="Heading1"/>
        <w:jc w:val="both"/>
      </w:pPr>
      <w:bookmarkStart w:id="8" w:name="_Toc527460508"/>
      <w:r>
        <w:t>8</w:t>
      </w:r>
      <w:r w:rsidR="0086031C">
        <w:t xml:space="preserve"> Procedural Matters</w:t>
      </w:r>
      <w:bookmarkEnd w:id="8"/>
      <w:r w:rsidR="0086031C">
        <w:t xml:space="preserve"> </w:t>
      </w:r>
    </w:p>
    <w:p w:rsidR="00FF5E07" w:rsidRDefault="00FF5E07" w:rsidP="00866AE2">
      <w:pPr>
        <w:pStyle w:val="CM24"/>
        <w:spacing w:after="77" w:line="276" w:lineRule="atLeast"/>
        <w:jc w:val="both"/>
        <w:rPr>
          <w:b/>
          <w:bCs/>
          <w:sz w:val="23"/>
          <w:szCs w:val="23"/>
        </w:rPr>
      </w:pPr>
    </w:p>
    <w:p w:rsidR="005F662D" w:rsidRPr="00F005F8" w:rsidRDefault="00582BFC" w:rsidP="00866AE2">
      <w:pPr>
        <w:pStyle w:val="CM24"/>
        <w:spacing w:after="77" w:line="276" w:lineRule="atLeast"/>
        <w:jc w:val="both"/>
      </w:pPr>
      <w:r>
        <w:rPr>
          <w:b/>
          <w:bCs/>
        </w:rPr>
        <w:t>8</w:t>
      </w:r>
      <w:r w:rsidR="0086031C" w:rsidRPr="00F005F8">
        <w:rPr>
          <w:b/>
          <w:bCs/>
        </w:rPr>
        <w:t>.</w:t>
      </w:r>
      <w:r w:rsidR="001E5D99">
        <w:rPr>
          <w:b/>
          <w:bCs/>
        </w:rPr>
        <w:t>1</w:t>
      </w:r>
      <w:r w:rsidR="0086031C" w:rsidRPr="00F005F8">
        <w:rPr>
          <w:b/>
          <w:bCs/>
        </w:rPr>
        <w:t xml:space="preserve"> </w:t>
      </w:r>
      <w:r w:rsidR="0086031C" w:rsidRPr="004C4E60">
        <w:rPr>
          <w:b/>
          <w:bCs/>
          <w:iCs/>
        </w:rPr>
        <w:t xml:space="preserve">Applications </w:t>
      </w:r>
    </w:p>
    <w:p w:rsidR="008D477D" w:rsidRDefault="001E5D99" w:rsidP="00866AE2">
      <w:pPr>
        <w:pStyle w:val="CM26"/>
        <w:spacing w:after="275" w:line="276" w:lineRule="atLeast"/>
        <w:ind w:right="67"/>
        <w:jc w:val="both"/>
      </w:pPr>
      <w:r>
        <w:t xml:space="preserve">CTS will only be paid upon receipt of an application.  </w:t>
      </w:r>
      <w:r w:rsidR="0086031C" w:rsidRPr="00F005F8">
        <w:t xml:space="preserve">Applications must be made in writing and received by </w:t>
      </w:r>
      <w:r w:rsidR="00B973B1">
        <w:t xml:space="preserve">LBB’s </w:t>
      </w:r>
      <w:r w:rsidR="00B973B1" w:rsidRPr="00F005F8">
        <w:t>Revenues</w:t>
      </w:r>
      <w:r w:rsidR="0086031C" w:rsidRPr="00F005F8">
        <w:t xml:space="preserve"> and Benefits Service, or received electronically via </w:t>
      </w:r>
      <w:r>
        <w:t>LBB</w:t>
      </w:r>
      <w:r w:rsidR="0086031C" w:rsidRPr="00F005F8">
        <w:t xml:space="preserve">’s website or in some other format as </w:t>
      </w:r>
      <w:r>
        <w:t>LBB</w:t>
      </w:r>
      <w:r w:rsidR="0086031C" w:rsidRPr="00F005F8">
        <w:t xml:space="preserve"> may decide. If a request for CTS is received by the Revenues and Benefits Service by any means including one that is not in the correct format </w:t>
      </w:r>
      <w:r>
        <w:t>LBB</w:t>
      </w:r>
      <w:r w:rsidR="0086031C" w:rsidRPr="00F005F8">
        <w:t xml:space="preserve"> will invite the applicant to complete an appropriate application. If the applicant does so and it is received within one month of being asked to do so then the application date will be the date the original request was received. </w:t>
      </w:r>
    </w:p>
    <w:p w:rsidR="005F662D" w:rsidRPr="00F005F8" w:rsidRDefault="002612B8" w:rsidP="00866AE2">
      <w:pPr>
        <w:pStyle w:val="CM26"/>
        <w:spacing w:after="275" w:line="276" w:lineRule="atLeast"/>
        <w:ind w:right="67"/>
        <w:jc w:val="both"/>
      </w:pPr>
      <w:r>
        <w:t xml:space="preserve">When an application for CTS is made during the same week as the Council Tax liability start date, </w:t>
      </w:r>
      <w:r w:rsidR="00F13CB3">
        <w:t>the C</w:t>
      </w:r>
      <w:r>
        <w:t xml:space="preserve">TS </w:t>
      </w:r>
      <w:r w:rsidR="00F13CB3">
        <w:t xml:space="preserve">award </w:t>
      </w:r>
      <w:r>
        <w:t>will commence from the liability start date.</w:t>
      </w:r>
      <w:r w:rsidR="00F13CB3">
        <w:t xml:space="preserve"> For applications made outside the first week of liability, the CTS award will commence from the following Monday of the date of application. </w:t>
      </w:r>
    </w:p>
    <w:p w:rsidR="00A776F8" w:rsidRDefault="0086031C" w:rsidP="00866AE2">
      <w:pPr>
        <w:pStyle w:val="CM26"/>
        <w:spacing w:after="275" w:line="276" w:lineRule="atLeast"/>
        <w:ind w:right="125"/>
        <w:jc w:val="both"/>
      </w:pPr>
      <w:r w:rsidRPr="00F005F8">
        <w:t xml:space="preserve">If a claim is made for Housing Benefit and the person claiming is also liable for Council Tax at the same dwelling then the Housing Benefit claim will be treated as a claim for Council Tax Support unless within fourteen days of receipt of confirmation of the award from </w:t>
      </w:r>
      <w:r w:rsidR="001E5D99">
        <w:t>LBB</w:t>
      </w:r>
      <w:r w:rsidRPr="00F005F8">
        <w:t xml:space="preserve">, the customer advises </w:t>
      </w:r>
      <w:r w:rsidR="001E5D99">
        <w:t>LBB</w:t>
      </w:r>
      <w:r w:rsidRPr="00F005F8">
        <w:t xml:space="preserve"> in writing t</w:t>
      </w:r>
      <w:r w:rsidR="00A776F8">
        <w:t>hat they do not wish to claim.</w:t>
      </w:r>
    </w:p>
    <w:p w:rsidR="005F662D" w:rsidRPr="00F005F8" w:rsidRDefault="0086031C" w:rsidP="00866AE2">
      <w:pPr>
        <w:pStyle w:val="CM26"/>
        <w:spacing w:after="275" w:line="276" w:lineRule="atLeast"/>
        <w:ind w:right="125"/>
        <w:jc w:val="both"/>
      </w:pPr>
      <w:r w:rsidRPr="00F005F8">
        <w:t xml:space="preserve">For those of working age, where an application is defective or incomplete and the applicant or the person acting for them has not supplied the information requested or properly completed an application form within one month (or such longer period as </w:t>
      </w:r>
      <w:r w:rsidR="001E5D99">
        <w:t>LBB</w:t>
      </w:r>
      <w:r w:rsidRPr="00F005F8">
        <w:t xml:space="preserve"> considers reasonable) of being asked to do so then </w:t>
      </w:r>
      <w:r w:rsidR="001E5D99">
        <w:t>LBB</w:t>
      </w:r>
      <w:r w:rsidRPr="00F005F8">
        <w:t xml:space="preserve"> will decide that the applicant no longer wishes to apply for a reduction. </w:t>
      </w:r>
    </w:p>
    <w:p w:rsidR="005F662D" w:rsidRPr="00F005F8" w:rsidRDefault="0086031C" w:rsidP="00866AE2">
      <w:pPr>
        <w:pStyle w:val="CM26"/>
        <w:spacing w:after="275" w:line="276" w:lineRule="atLeast"/>
        <w:ind w:right="67"/>
        <w:jc w:val="both"/>
      </w:pPr>
      <w:r w:rsidRPr="00F005F8">
        <w:t xml:space="preserve">Where following a change of circumstance the person receiving a reduction is asked to supply evidence or information in support of their claim and fails to do so within one month (or such longer period as </w:t>
      </w:r>
      <w:r w:rsidR="001E5D99">
        <w:t>LBB</w:t>
      </w:r>
      <w:r w:rsidRPr="00F005F8">
        <w:t xml:space="preserve"> considers reasonable) then the CTS award will be amended based upon an adverse inference of the information held from the date the change of circumstances occurred. This could lead to any award being ended. </w:t>
      </w:r>
    </w:p>
    <w:p w:rsidR="005F662D" w:rsidRPr="00F005F8" w:rsidRDefault="0086031C" w:rsidP="00B80BA8">
      <w:pPr>
        <w:pStyle w:val="CM26"/>
        <w:spacing w:after="275" w:line="276" w:lineRule="atLeast"/>
        <w:ind w:right="125"/>
        <w:jc w:val="both"/>
      </w:pPr>
      <w:r w:rsidRPr="00F005F8">
        <w:t xml:space="preserve">Where an application is made for Universal Credit, Income Support, Jobseekers Allowance (Income Based) or Income Related Employment and Support Allowance and the Department of Work and Pensions or the CTS applicant makes </w:t>
      </w:r>
      <w:r w:rsidR="001E5D99">
        <w:t>LBB</w:t>
      </w:r>
      <w:r w:rsidRPr="00F005F8">
        <w:t xml:space="preserve"> aware of this fact within 4 weeks of them becoming entitled to one of the above benefits then the date of application will be treated as made on date they become entitled to one of the above benefits. </w:t>
      </w:r>
    </w:p>
    <w:p w:rsidR="005F662D" w:rsidRDefault="0086031C" w:rsidP="00B80BA8">
      <w:pPr>
        <w:pStyle w:val="CM8"/>
        <w:ind w:right="520"/>
        <w:jc w:val="both"/>
      </w:pPr>
      <w:r w:rsidRPr="00F005F8">
        <w:t>Applications for CTS can be made up to 13 weeks in advance prior to an event</w:t>
      </w:r>
      <w:r w:rsidR="00866AE2">
        <w:t xml:space="preserve"> that would entitle them to CTS.</w:t>
      </w:r>
    </w:p>
    <w:p w:rsidR="00866AE2" w:rsidRDefault="00866AE2" w:rsidP="00B80BA8">
      <w:pPr>
        <w:pStyle w:val="Default"/>
        <w:jc w:val="both"/>
      </w:pPr>
    </w:p>
    <w:p w:rsidR="002772E3" w:rsidRPr="00F005F8" w:rsidRDefault="002772E3" w:rsidP="00B80BA8">
      <w:pPr>
        <w:pStyle w:val="CM24"/>
        <w:spacing w:after="77" w:line="276" w:lineRule="atLeast"/>
        <w:jc w:val="both"/>
      </w:pPr>
      <w:r w:rsidRPr="00543DC7">
        <w:rPr>
          <w:b/>
          <w:bCs/>
        </w:rPr>
        <w:t>8.1 B</w:t>
      </w:r>
      <w:r w:rsidRPr="00543DC7">
        <w:rPr>
          <w:b/>
          <w:bCs/>
          <w:iCs/>
        </w:rPr>
        <w:t>ackdating an award</w:t>
      </w:r>
    </w:p>
    <w:p w:rsidR="002772E3" w:rsidRDefault="002772E3" w:rsidP="00B80BA8">
      <w:pPr>
        <w:pStyle w:val="Default"/>
        <w:jc w:val="both"/>
      </w:pPr>
    </w:p>
    <w:p w:rsidR="004A0BAF" w:rsidRDefault="004A0BAF" w:rsidP="00B80BA8">
      <w:pPr>
        <w:pStyle w:val="Default"/>
        <w:jc w:val="both"/>
      </w:pPr>
      <w:r>
        <w:t xml:space="preserve">For those of Pensionable age </w:t>
      </w:r>
      <w:r w:rsidR="00B80BA8">
        <w:t>the rules for backdating a claim are set out in the default scheme and prescribed requirement regulations.</w:t>
      </w:r>
    </w:p>
    <w:p w:rsidR="00B80BA8" w:rsidRDefault="00B80BA8" w:rsidP="00B80BA8">
      <w:pPr>
        <w:pStyle w:val="Default"/>
        <w:jc w:val="both"/>
      </w:pPr>
    </w:p>
    <w:p w:rsidR="00B80BA8" w:rsidRDefault="00161808" w:rsidP="00B80BA8">
      <w:pPr>
        <w:pStyle w:val="Default"/>
        <w:jc w:val="both"/>
      </w:pPr>
      <w:r>
        <w:t>For those of working age a claim can be backdated for a maximum of 6 months if</w:t>
      </w:r>
      <w:r w:rsidR="008653CB">
        <w:t xml:space="preserve"> continuous </w:t>
      </w:r>
      <w:r>
        <w:t>good cause</w:t>
      </w:r>
      <w:r w:rsidR="008653CB">
        <w:t xml:space="preserve"> for failing to </w:t>
      </w:r>
      <w:r>
        <w:t>apply sooner can be shown.  All applications must be in writing.</w:t>
      </w:r>
    </w:p>
    <w:p w:rsidR="008D477D" w:rsidRPr="00866AE2" w:rsidRDefault="008D477D" w:rsidP="00B80BA8">
      <w:pPr>
        <w:pStyle w:val="Default"/>
        <w:jc w:val="both"/>
      </w:pPr>
    </w:p>
    <w:p w:rsidR="005F662D" w:rsidRDefault="00582BFC" w:rsidP="00B80BA8">
      <w:pPr>
        <w:pStyle w:val="Heading1"/>
        <w:jc w:val="both"/>
      </w:pPr>
      <w:bookmarkStart w:id="9" w:name="_Toc527460509"/>
      <w:r>
        <w:t>9</w:t>
      </w:r>
      <w:r w:rsidR="0086031C">
        <w:t xml:space="preserve"> Effective date of a change of circumstance</w:t>
      </w:r>
      <w:bookmarkEnd w:id="9"/>
      <w:r w:rsidR="0086031C">
        <w:t xml:space="preserve"> </w:t>
      </w:r>
    </w:p>
    <w:p w:rsidR="00C82670" w:rsidRPr="00C82670" w:rsidRDefault="00C82670" w:rsidP="00866AE2">
      <w:pPr>
        <w:pStyle w:val="NoSpacing"/>
      </w:pPr>
    </w:p>
    <w:p w:rsidR="005F662D" w:rsidRPr="000A3F53" w:rsidRDefault="0086031C" w:rsidP="00866AE2">
      <w:pPr>
        <w:pStyle w:val="CM26"/>
        <w:spacing w:after="275" w:line="276" w:lineRule="atLeast"/>
        <w:ind w:right="265"/>
        <w:jc w:val="both"/>
      </w:pPr>
      <w:r w:rsidRPr="000A3F53">
        <w:t xml:space="preserve">For those of Pensionable age the effective date of a change of circumstance is as set out in the default scheme. </w:t>
      </w:r>
    </w:p>
    <w:p w:rsidR="000A3F53" w:rsidRPr="000A3F53" w:rsidRDefault="0086031C" w:rsidP="00866AE2">
      <w:pPr>
        <w:pStyle w:val="CM26"/>
        <w:spacing w:after="275" w:line="276" w:lineRule="atLeast"/>
        <w:ind w:right="337"/>
        <w:jc w:val="both"/>
      </w:pPr>
      <w:r w:rsidRPr="000A3F53">
        <w:t>For those of working age the effective date of a change of circumstances is as set out Regulation 107 of the Default regulations</w:t>
      </w:r>
      <w:r w:rsidR="00260E5D" w:rsidRPr="000A3F53">
        <w:t xml:space="preserve">.  </w:t>
      </w:r>
      <w:r w:rsidR="000A3F53" w:rsidRPr="000A3F53">
        <w:t>However,</w:t>
      </w:r>
      <w:r w:rsidR="00260E5D" w:rsidRPr="000A3F53">
        <w:t xml:space="preserve"> w</w:t>
      </w:r>
      <w:r w:rsidRPr="000A3F53">
        <w:t>here an applicant is required to notify a chan</w:t>
      </w:r>
      <w:r w:rsidR="000A3F53" w:rsidRPr="000A3F53">
        <w:t>ge of circumstances and:</w:t>
      </w:r>
    </w:p>
    <w:p w:rsidR="000A3F53" w:rsidRPr="000A3F53" w:rsidRDefault="000A3F53" w:rsidP="00866AE2">
      <w:pPr>
        <w:pStyle w:val="CM26"/>
        <w:numPr>
          <w:ilvl w:val="0"/>
          <w:numId w:val="15"/>
        </w:numPr>
        <w:spacing w:after="275" w:line="276" w:lineRule="atLeast"/>
        <w:ind w:left="851" w:right="337" w:hanging="491"/>
        <w:jc w:val="both"/>
      </w:pPr>
      <w:r w:rsidRPr="000A3F53">
        <w:t xml:space="preserve">the </w:t>
      </w:r>
      <w:r w:rsidR="0086031C" w:rsidRPr="000A3F53">
        <w:t>change has been notified more than one month</w:t>
      </w:r>
      <w:r w:rsidRPr="000A3F53">
        <w:t xml:space="preserve"> after the change occurred, or such longer time as LBB </w:t>
      </w:r>
      <w:r w:rsidR="0086031C" w:rsidRPr="000A3F53">
        <w:t>considers reasonable</w:t>
      </w:r>
      <w:r w:rsidRPr="000A3F53">
        <w:t>;</w:t>
      </w:r>
      <w:r w:rsidR="0086031C" w:rsidRPr="000A3F53">
        <w:t xml:space="preserve"> and</w:t>
      </w:r>
    </w:p>
    <w:p w:rsidR="000A3F53" w:rsidRPr="000A3F53" w:rsidRDefault="0086031C" w:rsidP="00866AE2">
      <w:pPr>
        <w:pStyle w:val="CM26"/>
        <w:numPr>
          <w:ilvl w:val="0"/>
          <w:numId w:val="15"/>
        </w:numPr>
        <w:spacing w:after="275" w:line="276" w:lineRule="atLeast"/>
        <w:ind w:left="851" w:right="337" w:hanging="491"/>
        <w:jc w:val="both"/>
      </w:pPr>
      <w:r w:rsidRPr="000A3F53">
        <w:t>it was reasonably practicable for the change to</w:t>
      </w:r>
      <w:r w:rsidR="000A3F53" w:rsidRPr="000A3F53">
        <w:t xml:space="preserve"> be notified within this period; and</w:t>
      </w:r>
    </w:p>
    <w:p w:rsidR="005F662D" w:rsidRPr="000A3F53" w:rsidRDefault="000A3F53" w:rsidP="00866AE2">
      <w:pPr>
        <w:pStyle w:val="CM26"/>
        <w:numPr>
          <w:ilvl w:val="0"/>
          <w:numId w:val="15"/>
        </w:numPr>
        <w:spacing w:after="275" w:line="276" w:lineRule="atLeast"/>
        <w:ind w:left="851" w:right="337" w:hanging="491"/>
        <w:jc w:val="both"/>
      </w:pPr>
      <w:r w:rsidRPr="000A3F53">
        <w:t>t</w:t>
      </w:r>
      <w:r w:rsidR="0086031C" w:rsidRPr="000A3F53">
        <w:t>he new decision on the reduction i</w:t>
      </w:r>
      <w:r w:rsidRPr="000A3F53">
        <w:t>s advantageous to the applicant; then</w:t>
      </w:r>
      <w:r w:rsidR="0086031C" w:rsidRPr="000A3F53">
        <w:t xml:space="preserve"> </w:t>
      </w:r>
    </w:p>
    <w:p w:rsidR="005F662D" w:rsidRPr="00866AE2" w:rsidRDefault="000A3F53" w:rsidP="00866AE2">
      <w:pPr>
        <w:pStyle w:val="NoSpacing"/>
        <w:rPr>
          <w:rFonts w:ascii="Arial" w:hAnsi="Arial" w:cs="Arial"/>
          <w:sz w:val="24"/>
        </w:rPr>
      </w:pPr>
      <w:r w:rsidRPr="00866AE2">
        <w:rPr>
          <w:rFonts w:ascii="Arial" w:hAnsi="Arial" w:cs="Arial"/>
          <w:sz w:val="24"/>
        </w:rPr>
        <w:t>the new decision on a reduction will take effect on the date of notification.</w:t>
      </w:r>
    </w:p>
    <w:p w:rsidR="00866AE2" w:rsidRPr="000A3F53" w:rsidRDefault="00866AE2" w:rsidP="00866AE2">
      <w:pPr>
        <w:pStyle w:val="NoSpacing"/>
      </w:pPr>
    </w:p>
    <w:p w:rsidR="005F662D" w:rsidRDefault="0086031C" w:rsidP="00866AE2">
      <w:pPr>
        <w:pStyle w:val="Heading1"/>
        <w:jc w:val="both"/>
      </w:pPr>
      <w:bookmarkStart w:id="10" w:name="_Toc527460510"/>
      <w:r>
        <w:t>1</w:t>
      </w:r>
      <w:r w:rsidR="00582BFC">
        <w:t>0</w:t>
      </w:r>
      <w:r>
        <w:t xml:space="preserve"> Appeals</w:t>
      </w:r>
      <w:bookmarkEnd w:id="10"/>
      <w:r>
        <w:t xml:space="preserve"> </w:t>
      </w:r>
    </w:p>
    <w:p w:rsidR="00374B13" w:rsidRDefault="00374B13" w:rsidP="00677D97">
      <w:pPr>
        <w:pStyle w:val="NoSpacing"/>
      </w:pPr>
    </w:p>
    <w:p w:rsidR="00C35ED7" w:rsidRPr="001B1E0F" w:rsidRDefault="00C35ED7" w:rsidP="00866AE2">
      <w:pPr>
        <w:pStyle w:val="NormalWeb"/>
        <w:shd w:val="clear" w:color="auto" w:fill="FFFFFF"/>
        <w:spacing w:before="0" w:beforeAutospacing="0" w:after="300" w:afterAutospacing="0" w:line="263" w:lineRule="atLeast"/>
        <w:jc w:val="both"/>
        <w:rPr>
          <w:rFonts w:ascii="Arial" w:hAnsi="Arial" w:cs="Arial"/>
        </w:rPr>
      </w:pPr>
      <w:r w:rsidRPr="001B1E0F">
        <w:rPr>
          <w:rFonts w:ascii="Arial" w:hAnsi="Arial" w:cs="Arial"/>
        </w:rPr>
        <w:t xml:space="preserve">If you disagree with </w:t>
      </w:r>
      <w:r w:rsidR="00831D71" w:rsidRPr="001B1E0F">
        <w:rPr>
          <w:rFonts w:ascii="Arial" w:hAnsi="Arial" w:cs="Arial"/>
        </w:rPr>
        <w:t>our</w:t>
      </w:r>
      <w:r w:rsidRPr="001B1E0F">
        <w:rPr>
          <w:rFonts w:ascii="Arial" w:hAnsi="Arial" w:cs="Arial"/>
        </w:rPr>
        <w:t xml:space="preserve"> decision about your council tax reduction, in some cases you will be able to appeal to the Valuation Tribunal.  Th</w:t>
      </w:r>
      <w:r w:rsidR="00831D71" w:rsidRPr="001B1E0F">
        <w:rPr>
          <w:rFonts w:ascii="Arial" w:hAnsi="Arial" w:cs="Arial"/>
        </w:rPr>
        <w:t>e Tribunal is independent of LBB</w:t>
      </w:r>
      <w:r w:rsidRPr="001B1E0F">
        <w:rPr>
          <w:rFonts w:ascii="Arial" w:hAnsi="Arial" w:cs="Arial"/>
        </w:rPr>
        <w:t>.</w:t>
      </w:r>
    </w:p>
    <w:p w:rsidR="00C35ED7" w:rsidRPr="001B1E0F" w:rsidRDefault="00C35ED7" w:rsidP="00866AE2">
      <w:pPr>
        <w:shd w:val="clear" w:color="auto" w:fill="FFFFFF"/>
        <w:spacing w:after="300" w:line="263" w:lineRule="atLeast"/>
        <w:jc w:val="both"/>
        <w:rPr>
          <w:rFonts w:ascii="Arial" w:eastAsia="Times New Roman" w:hAnsi="Arial" w:cs="Arial"/>
          <w:sz w:val="24"/>
          <w:szCs w:val="24"/>
        </w:rPr>
      </w:pPr>
      <w:r w:rsidRPr="001B1E0F">
        <w:rPr>
          <w:rFonts w:ascii="Arial" w:eastAsia="Times New Roman" w:hAnsi="Arial" w:cs="Arial"/>
          <w:sz w:val="24"/>
          <w:szCs w:val="24"/>
        </w:rPr>
        <w:t>You can appeal</w:t>
      </w:r>
      <w:r w:rsidR="00831D71" w:rsidRPr="001B1E0F">
        <w:rPr>
          <w:rFonts w:ascii="Arial" w:eastAsia="Times New Roman" w:hAnsi="Arial" w:cs="Arial"/>
          <w:sz w:val="24"/>
          <w:szCs w:val="24"/>
        </w:rPr>
        <w:t xml:space="preserve"> to them regarding LBB’s decision about:</w:t>
      </w:r>
    </w:p>
    <w:p w:rsidR="00C35ED7" w:rsidRPr="001B1E0F" w:rsidRDefault="00C35ED7" w:rsidP="00866AE2">
      <w:pPr>
        <w:numPr>
          <w:ilvl w:val="0"/>
          <w:numId w:val="10"/>
        </w:numPr>
        <w:shd w:val="clear" w:color="auto" w:fill="FFFFFF"/>
        <w:spacing w:before="100" w:beforeAutospacing="1" w:after="75" w:line="240" w:lineRule="auto"/>
        <w:jc w:val="both"/>
        <w:rPr>
          <w:rFonts w:ascii="Arial" w:eastAsia="Times New Roman" w:hAnsi="Arial" w:cs="Arial"/>
          <w:sz w:val="24"/>
          <w:szCs w:val="24"/>
        </w:rPr>
      </w:pPr>
      <w:r w:rsidRPr="001B1E0F">
        <w:rPr>
          <w:rFonts w:ascii="Arial" w:eastAsia="Times New Roman" w:hAnsi="Arial" w:cs="Arial"/>
          <w:sz w:val="24"/>
          <w:szCs w:val="24"/>
        </w:rPr>
        <w:t>whether you are entitled to a council tax reduction</w:t>
      </w:r>
    </w:p>
    <w:p w:rsidR="00831D71" w:rsidRPr="001B1E0F" w:rsidRDefault="00C35ED7" w:rsidP="00866AE2">
      <w:pPr>
        <w:numPr>
          <w:ilvl w:val="0"/>
          <w:numId w:val="10"/>
        </w:numPr>
        <w:shd w:val="clear" w:color="auto" w:fill="FFFFFF"/>
        <w:spacing w:before="100" w:beforeAutospacing="1" w:after="75" w:line="240" w:lineRule="auto"/>
        <w:jc w:val="both"/>
        <w:rPr>
          <w:rFonts w:ascii="Arial" w:eastAsia="Times New Roman" w:hAnsi="Arial" w:cs="Arial"/>
          <w:sz w:val="24"/>
          <w:szCs w:val="24"/>
        </w:rPr>
      </w:pPr>
      <w:r w:rsidRPr="001B1E0F">
        <w:rPr>
          <w:rFonts w:ascii="Arial" w:eastAsia="Times New Roman" w:hAnsi="Arial" w:cs="Arial"/>
          <w:sz w:val="24"/>
          <w:szCs w:val="24"/>
        </w:rPr>
        <w:t xml:space="preserve">how much of a reduction </w:t>
      </w:r>
      <w:r w:rsidR="00831D71" w:rsidRPr="001B1E0F">
        <w:rPr>
          <w:rFonts w:ascii="Arial" w:eastAsia="Times New Roman" w:hAnsi="Arial" w:cs="Arial"/>
          <w:sz w:val="24"/>
          <w:szCs w:val="24"/>
        </w:rPr>
        <w:t>LBB have</w:t>
      </w:r>
      <w:r w:rsidRPr="001B1E0F">
        <w:rPr>
          <w:rFonts w:ascii="Arial" w:eastAsia="Times New Roman" w:hAnsi="Arial" w:cs="Arial"/>
          <w:sz w:val="24"/>
          <w:szCs w:val="24"/>
        </w:rPr>
        <w:t xml:space="preserve"> awarded you under the local </w:t>
      </w:r>
      <w:proofErr w:type="gramStart"/>
      <w:r w:rsidRPr="001B1E0F">
        <w:rPr>
          <w:rFonts w:ascii="Arial" w:eastAsia="Times New Roman" w:hAnsi="Arial" w:cs="Arial"/>
          <w:sz w:val="24"/>
          <w:szCs w:val="24"/>
        </w:rPr>
        <w:t>scheme.</w:t>
      </w:r>
      <w:proofErr w:type="gramEnd"/>
    </w:p>
    <w:p w:rsidR="00831D71" w:rsidRPr="001B1E0F" w:rsidRDefault="00831D71" w:rsidP="00866AE2">
      <w:pPr>
        <w:pStyle w:val="NoSpacing"/>
        <w:jc w:val="both"/>
        <w:rPr>
          <w:rFonts w:eastAsia="Times New Roman"/>
        </w:rPr>
      </w:pPr>
    </w:p>
    <w:p w:rsidR="00C35ED7" w:rsidRPr="001B1E0F" w:rsidRDefault="00C35ED7" w:rsidP="00866AE2">
      <w:pPr>
        <w:shd w:val="clear" w:color="auto" w:fill="FFFFFF"/>
        <w:spacing w:after="300" w:line="263" w:lineRule="atLeast"/>
        <w:jc w:val="both"/>
        <w:rPr>
          <w:rFonts w:ascii="Arial" w:eastAsia="Times New Roman" w:hAnsi="Arial" w:cs="Arial"/>
          <w:sz w:val="24"/>
          <w:szCs w:val="24"/>
        </w:rPr>
      </w:pPr>
      <w:r w:rsidRPr="001B1E0F">
        <w:rPr>
          <w:rFonts w:ascii="Arial" w:eastAsia="Times New Roman" w:hAnsi="Arial" w:cs="Arial"/>
          <w:sz w:val="24"/>
          <w:szCs w:val="24"/>
        </w:rPr>
        <w:t xml:space="preserve">The Tribunal cannot hear appeals about what is </w:t>
      </w:r>
      <w:r w:rsidR="00831D71" w:rsidRPr="001B1E0F">
        <w:rPr>
          <w:rFonts w:ascii="Arial" w:eastAsia="Times New Roman" w:hAnsi="Arial" w:cs="Arial"/>
          <w:sz w:val="24"/>
          <w:szCs w:val="24"/>
        </w:rPr>
        <w:t>LBB’s</w:t>
      </w:r>
      <w:r w:rsidRPr="001B1E0F">
        <w:rPr>
          <w:rFonts w:ascii="Arial" w:eastAsia="Times New Roman" w:hAnsi="Arial" w:cs="Arial"/>
          <w:sz w:val="24"/>
          <w:szCs w:val="24"/>
        </w:rPr>
        <w:t xml:space="preserve"> scheme, only about the way the scheme has been applied in your case.</w:t>
      </w:r>
    </w:p>
    <w:p w:rsidR="00831D71" w:rsidRPr="001B1E0F" w:rsidRDefault="00831D71" w:rsidP="00866AE2">
      <w:pPr>
        <w:shd w:val="clear" w:color="auto" w:fill="FFFFFF"/>
        <w:spacing w:after="300" w:line="263" w:lineRule="atLeast"/>
        <w:jc w:val="both"/>
        <w:rPr>
          <w:rFonts w:ascii="Arial" w:eastAsia="Times New Roman" w:hAnsi="Arial" w:cs="Arial"/>
          <w:sz w:val="24"/>
          <w:szCs w:val="24"/>
        </w:rPr>
      </w:pPr>
      <w:r w:rsidRPr="001B1E0F">
        <w:rPr>
          <w:rFonts w:ascii="Arial" w:eastAsia="Times New Roman" w:hAnsi="Arial" w:cs="Arial"/>
          <w:sz w:val="24"/>
          <w:szCs w:val="24"/>
        </w:rPr>
        <w:t>The stages to making an appeal are:</w:t>
      </w:r>
    </w:p>
    <w:p w:rsidR="00831D71" w:rsidRPr="001B1E0F" w:rsidRDefault="00831D71" w:rsidP="00866AE2">
      <w:pPr>
        <w:pStyle w:val="ListParagraph"/>
        <w:numPr>
          <w:ilvl w:val="0"/>
          <w:numId w:val="11"/>
        </w:numPr>
        <w:shd w:val="clear" w:color="auto" w:fill="FFFFFF"/>
        <w:spacing w:after="300" w:line="263" w:lineRule="atLeast"/>
        <w:jc w:val="both"/>
        <w:rPr>
          <w:rFonts w:eastAsia="Times New Roman"/>
          <w:color w:val="auto"/>
        </w:rPr>
      </w:pPr>
      <w:r w:rsidRPr="001B1E0F">
        <w:rPr>
          <w:rFonts w:eastAsia="Times New Roman"/>
          <w:color w:val="auto"/>
        </w:rPr>
        <w:t xml:space="preserve">You must first contact LBB </w:t>
      </w:r>
      <w:r w:rsidR="001B1E0F">
        <w:rPr>
          <w:rFonts w:eastAsia="Times New Roman"/>
          <w:color w:val="auto"/>
        </w:rPr>
        <w:t xml:space="preserve">in writing </w:t>
      </w:r>
      <w:r w:rsidRPr="001B1E0F">
        <w:rPr>
          <w:rFonts w:eastAsia="Times New Roman"/>
          <w:color w:val="auto"/>
        </w:rPr>
        <w:t>explaining why you believe the decision to be wrong.  LBB have 2 months to reply to your contact.</w:t>
      </w:r>
    </w:p>
    <w:p w:rsidR="00831D71" w:rsidRPr="001B1E0F" w:rsidRDefault="00831D71" w:rsidP="00866AE2">
      <w:pPr>
        <w:pStyle w:val="ListParagraph"/>
        <w:shd w:val="clear" w:color="auto" w:fill="FFFFFF"/>
        <w:spacing w:after="300" w:line="263" w:lineRule="atLeast"/>
        <w:jc w:val="both"/>
        <w:rPr>
          <w:rFonts w:eastAsia="Times New Roman"/>
          <w:color w:val="auto"/>
        </w:rPr>
      </w:pPr>
    </w:p>
    <w:p w:rsidR="00831D71" w:rsidRPr="001B1E0F" w:rsidRDefault="00831D71" w:rsidP="00866AE2">
      <w:pPr>
        <w:pStyle w:val="ListParagraph"/>
        <w:numPr>
          <w:ilvl w:val="0"/>
          <w:numId w:val="11"/>
        </w:numPr>
        <w:shd w:val="clear" w:color="auto" w:fill="FFFFFF"/>
        <w:spacing w:after="300" w:line="263" w:lineRule="atLeast"/>
        <w:jc w:val="both"/>
        <w:rPr>
          <w:rFonts w:eastAsia="Times New Roman"/>
          <w:color w:val="auto"/>
        </w:rPr>
      </w:pPr>
      <w:r w:rsidRPr="001B1E0F">
        <w:rPr>
          <w:rFonts w:eastAsia="Times New Roman"/>
          <w:color w:val="auto"/>
        </w:rPr>
        <w:t>If LBB do not agree with your reasons for the decision being wrong you can then appeal to the Valuation Tribunal.</w:t>
      </w:r>
    </w:p>
    <w:p w:rsidR="00831D71" w:rsidRPr="001B1E0F" w:rsidRDefault="00831D71" w:rsidP="00866AE2">
      <w:pPr>
        <w:pStyle w:val="ListParagraph"/>
        <w:jc w:val="both"/>
        <w:rPr>
          <w:rFonts w:eastAsia="Times New Roman"/>
          <w:color w:val="auto"/>
        </w:rPr>
      </w:pPr>
    </w:p>
    <w:p w:rsidR="00831D71" w:rsidRPr="001B1E0F" w:rsidRDefault="00831D71" w:rsidP="00866AE2">
      <w:pPr>
        <w:pStyle w:val="ListParagraph"/>
        <w:numPr>
          <w:ilvl w:val="0"/>
          <w:numId w:val="11"/>
        </w:numPr>
        <w:shd w:val="clear" w:color="auto" w:fill="FFFFFF"/>
        <w:spacing w:after="300" w:line="263" w:lineRule="atLeast"/>
        <w:jc w:val="both"/>
        <w:rPr>
          <w:rFonts w:eastAsia="Times New Roman"/>
          <w:color w:val="auto"/>
        </w:rPr>
      </w:pPr>
      <w:r w:rsidRPr="001B1E0F">
        <w:rPr>
          <w:color w:val="auto"/>
          <w:shd w:val="clear" w:color="auto" w:fill="FFFFFF"/>
        </w:rPr>
        <w:t>If you decide to appeal, you must contact the Valuation Tribunal within 2 months of LBB’s decision and include a copy of the decision with your appeal form. You can either submit an electronic appeal form, download a form to complete offline, or contact the Valuation Tribunal to have them send you an appeal form.</w:t>
      </w:r>
    </w:p>
    <w:p w:rsidR="00374B13" w:rsidRPr="001B1E0F" w:rsidRDefault="00374B13" w:rsidP="00866AE2">
      <w:pPr>
        <w:pStyle w:val="ListParagraph"/>
        <w:shd w:val="clear" w:color="auto" w:fill="FFFFFF"/>
        <w:spacing w:after="300" w:line="263" w:lineRule="atLeast"/>
        <w:jc w:val="both"/>
        <w:rPr>
          <w:rFonts w:eastAsia="Times New Roman"/>
          <w:color w:val="auto"/>
        </w:rPr>
      </w:pPr>
    </w:p>
    <w:p w:rsidR="00831D71" w:rsidRPr="001B1E0F" w:rsidRDefault="00831D71" w:rsidP="00866AE2">
      <w:pPr>
        <w:pStyle w:val="ListParagraph"/>
        <w:numPr>
          <w:ilvl w:val="0"/>
          <w:numId w:val="11"/>
        </w:numPr>
        <w:shd w:val="clear" w:color="auto" w:fill="FFFFFF"/>
        <w:spacing w:after="300" w:line="263" w:lineRule="atLeast"/>
        <w:jc w:val="both"/>
        <w:rPr>
          <w:rFonts w:eastAsia="Times New Roman"/>
          <w:color w:val="auto"/>
        </w:rPr>
      </w:pPr>
      <w:r w:rsidRPr="001B1E0F">
        <w:rPr>
          <w:rFonts w:eastAsia="Times New Roman"/>
          <w:color w:val="auto"/>
        </w:rPr>
        <w:t>If LBB have failed to respond to your contact</w:t>
      </w:r>
      <w:r w:rsidR="00374B13" w:rsidRPr="001B1E0F">
        <w:rPr>
          <w:rFonts w:eastAsia="Times New Roman"/>
          <w:color w:val="auto"/>
        </w:rPr>
        <w:t xml:space="preserve"> at point 1 above</w:t>
      </w:r>
      <w:r w:rsidRPr="001B1E0F">
        <w:rPr>
          <w:rFonts w:eastAsia="Times New Roman"/>
          <w:color w:val="auto"/>
        </w:rPr>
        <w:t xml:space="preserve"> within 4 months you can refer your </w:t>
      </w:r>
      <w:r w:rsidR="00374B13" w:rsidRPr="001B1E0F">
        <w:rPr>
          <w:rFonts w:eastAsia="Times New Roman"/>
          <w:color w:val="auto"/>
        </w:rPr>
        <w:t>matter to the Valuation Tribunal without LBB’s decision</w:t>
      </w:r>
      <w:r w:rsidRPr="001B1E0F">
        <w:rPr>
          <w:rFonts w:eastAsia="Times New Roman"/>
          <w:color w:val="auto"/>
        </w:rPr>
        <w:t>.</w:t>
      </w:r>
    </w:p>
    <w:p w:rsidR="00374B13" w:rsidRPr="001B1E0F" w:rsidRDefault="00374B13" w:rsidP="00866AE2">
      <w:pPr>
        <w:shd w:val="clear" w:color="auto" w:fill="FFFFFF"/>
        <w:spacing w:after="300" w:line="263" w:lineRule="atLeast"/>
        <w:jc w:val="both"/>
        <w:rPr>
          <w:rFonts w:ascii="Arial" w:eastAsia="Times New Roman" w:hAnsi="Arial" w:cs="Arial"/>
          <w:sz w:val="24"/>
        </w:rPr>
      </w:pPr>
      <w:r w:rsidRPr="001B1E0F">
        <w:rPr>
          <w:rFonts w:ascii="Arial" w:eastAsia="Times New Roman" w:hAnsi="Arial" w:cs="Arial"/>
          <w:sz w:val="24"/>
        </w:rPr>
        <w:t>Further details can be obtained from the Valuation Tribunal at the following link.  You will be able to download the appeals form or complete the online form from this link also.  Should you wish to contact the Valuation Tribunal their contact details can also be obtained from the link below.</w:t>
      </w:r>
    </w:p>
    <w:p w:rsidR="00374B13" w:rsidRDefault="004F40BF" w:rsidP="00866AE2">
      <w:pPr>
        <w:pStyle w:val="NoSpacing"/>
        <w:rPr>
          <w:rFonts w:eastAsia="Times New Roman"/>
        </w:rPr>
      </w:pPr>
      <w:hyperlink r:id="rId12" w:history="1">
        <w:r w:rsidR="00374B13" w:rsidRPr="006867EB">
          <w:rPr>
            <w:rStyle w:val="Hyperlink"/>
            <w:rFonts w:ascii="Arial" w:eastAsia="Times New Roman" w:hAnsi="Arial" w:cs="Arial"/>
            <w:sz w:val="24"/>
          </w:rPr>
          <w:t>https://www.valuationtribunal.gov.uk/your-appeal-type/council-tax/council-tax-reduction/</w:t>
        </w:r>
      </w:hyperlink>
      <w:r w:rsidR="00374B13">
        <w:rPr>
          <w:rFonts w:eastAsia="Times New Roman"/>
        </w:rPr>
        <w:t xml:space="preserve"> </w:t>
      </w:r>
    </w:p>
    <w:p w:rsidR="00866AE2" w:rsidRPr="00374B13" w:rsidRDefault="00866AE2" w:rsidP="00866AE2">
      <w:pPr>
        <w:pStyle w:val="NoSpacing"/>
        <w:rPr>
          <w:rFonts w:eastAsia="Times New Roman"/>
        </w:rPr>
      </w:pPr>
    </w:p>
    <w:p w:rsidR="005F662D" w:rsidRDefault="0086031C" w:rsidP="00866AE2">
      <w:pPr>
        <w:pStyle w:val="Heading1"/>
        <w:jc w:val="both"/>
      </w:pPr>
      <w:bookmarkStart w:id="11" w:name="_Toc527460511"/>
      <w:r>
        <w:t>1</w:t>
      </w:r>
      <w:r w:rsidR="00582BFC">
        <w:t>1</w:t>
      </w:r>
      <w:r>
        <w:t xml:space="preserve"> Discretionary Reduction see Part 3 of Schedule 1 of the default scheme</w:t>
      </w:r>
      <w:bookmarkEnd w:id="11"/>
      <w:r>
        <w:t xml:space="preserve"> </w:t>
      </w:r>
      <w:r w:rsidR="002612B8">
        <w:t>(Discretionary Council Tax Hardship payment)</w:t>
      </w:r>
    </w:p>
    <w:p w:rsidR="00C82670" w:rsidRDefault="00C82670" w:rsidP="00866AE2">
      <w:pPr>
        <w:pStyle w:val="CM17"/>
        <w:ind w:right="67"/>
        <w:jc w:val="both"/>
      </w:pPr>
    </w:p>
    <w:p w:rsidR="005F662D" w:rsidRDefault="0086031C" w:rsidP="00866AE2">
      <w:pPr>
        <w:pStyle w:val="CM17"/>
        <w:ind w:right="67"/>
        <w:jc w:val="both"/>
      </w:pPr>
      <w:r w:rsidRPr="00F005F8">
        <w:t>An application to the authority for a reduction under section 13A(1)(c</w:t>
      </w:r>
      <w:r w:rsidR="00374B13">
        <w:t>) of the 1992 Act must be made –</w:t>
      </w:r>
    </w:p>
    <w:p w:rsidR="00374B13" w:rsidRPr="00374B13" w:rsidRDefault="00374B13" w:rsidP="00866AE2">
      <w:pPr>
        <w:pStyle w:val="Default"/>
        <w:jc w:val="both"/>
      </w:pPr>
    </w:p>
    <w:p w:rsidR="005F662D" w:rsidRDefault="00C82670" w:rsidP="00866AE2">
      <w:pPr>
        <w:pStyle w:val="Default"/>
        <w:numPr>
          <w:ilvl w:val="0"/>
          <w:numId w:val="13"/>
        </w:numPr>
        <w:spacing w:after="20"/>
        <w:jc w:val="both"/>
        <w:rPr>
          <w:color w:val="auto"/>
        </w:rPr>
      </w:pPr>
      <w:r w:rsidRPr="00F005F8">
        <w:rPr>
          <w:color w:val="auto"/>
        </w:rPr>
        <w:t>In</w:t>
      </w:r>
      <w:r w:rsidR="001B0406">
        <w:rPr>
          <w:color w:val="auto"/>
        </w:rPr>
        <w:t xml:space="preserve"> writing, or;</w:t>
      </w:r>
    </w:p>
    <w:p w:rsidR="00374B13" w:rsidRPr="00F005F8" w:rsidRDefault="00374B13" w:rsidP="00866AE2">
      <w:pPr>
        <w:pStyle w:val="Default"/>
        <w:spacing w:after="20"/>
        <w:ind w:left="720"/>
        <w:jc w:val="both"/>
        <w:rPr>
          <w:color w:val="auto"/>
        </w:rPr>
      </w:pPr>
    </w:p>
    <w:p w:rsidR="00374B13" w:rsidRDefault="00C82670" w:rsidP="00866AE2">
      <w:pPr>
        <w:pStyle w:val="Default"/>
        <w:numPr>
          <w:ilvl w:val="0"/>
          <w:numId w:val="13"/>
        </w:numPr>
        <w:spacing w:after="20"/>
        <w:jc w:val="both"/>
        <w:rPr>
          <w:color w:val="auto"/>
        </w:rPr>
      </w:pPr>
      <w:r w:rsidRPr="00374B13">
        <w:rPr>
          <w:color w:val="auto"/>
        </w:rPr>
        <w:t>By</w:t>
      </w:r>
      <w:r w:rsidR="0086031C" w:rsidRPr="00374B13">
        <w:rPr>
          <w:color w:val="auto"/>
        </w:rPr>
        <w:t xml:space="preserve"> means of an electronic communication (see part 4 of Schedule 1)</w:t>
      </w:r>
      <w:r w:rsidR="001B0406">
        <w:rPr>
          <w:color w:val="auto"/>
        </w:rPr>
        <w:t xml:space="preserve"> or;</w:t>
      </w:r>
    </w:p>
    <w:p w:rsidR="00374B13" w:rsidRDefault="00374B13" w:rsidP="00866AE2">
      <w:pPr>
        <w:pStyle w:val="Default"/>
        <w:spacing w:after="20"/>
        <w:ind w:left="720"/>
        <w:jc w:val="both"/>
        <w:rPr>
          <w:color w:val="auto"/>
        </w:rPr>
      </w:pPr>
    </w:p>
    <w:p w:rsidR="005F662D" w:rsidRPr="00374B13" w:rsidRDefault="00C82670" w:rsidP="00866AE2">
      <w:pPr>
        <w:pStyle w:val="Default"/>
        <w:numPr>
          <w:ilvl w:val="0"/>
          <w:numId w:val="13"/>
        </w:numPr>
        <w:spacing w:after="20"/>
        <w:jc w:val="both"/>
        <w:rPr>
          <w:color w:val="auto"/>
        </w:rPr>
      </w:pPr>
      <w:r w:rsidRPr="00374B13">
        <w:rPr>
          <w:color w:val="auto"/>
        </w:rPr>
        <w:t>Via</w:t>
      </w:r>
      <w:r w:rsidR="0086031C" w:rsidRPr="00374B13">
        <w:rPr>
          <w:color w:val="auto"/>
        </w:rPr>
        <w:t xml:space="preserve"> </w:t>
      </w:r>
      <w:r w:rsidR="001E5D99" w:rsidRPr="00374B13">
        <w:rPr>
          <w:color w:val="auto"/>
        </w:rPr>
        <w:t>LBB</w:t>
      </w:r>
      <w:r w:rsidR="0086031C" w:rsidRPr="00374B13">
        <w:rPr>
          <w:color w:val="auto"/>
        </w:rPr>
        <w:t>’s website</w:t>
      </w:r>
      <w:r w:rsidRPr="00374B13">
        <w:rPr>
          <w:color w:val="auto"/>
        </w:rPr>
        <w:t>.</w:t>
      </w:r>
      <w:r w:rsidR="0086031C" w:rsidRPr="00374B13">
        <w:rPr>
          <w:color w:val="auto"/>
        </w:rPr>
        <w:t xml:space="preserve"> </w:t>
      </w:r>
    </w:p>
    <w:p w:rsidR="005F662D" w:rsidRPr="00F005F8" w:rsidRDefault="005F662D" w:rsidP="00866AE2">
      <w:pPr>
        <w:pStyle w:val="Default"/>
        <w:jc w:val="both"/>
        <w:rPr>
          <w:color w:val="auto"/>
        </w:rPr>
      </w:pPr>
    </w:p>
    <w:p w:rsidR="005F662D" w:rsidRPr="00F005F8" w:rsidRDefault="0086031C" w:rsidP="00866AE2">
      <w:pPr>
        <w:pStyle w:val="CM26"/>
        <w:spacing w:after="275" w:line="276" w:lineRule="atLeast"/>
        <w:ind w:right="782"/>
        <w:jc w:val="both"/>
      </w:pPr>
      <w:r w:rsidRPr="00F005F8">
        <w:t xml:space="preserve">The applicant must state why the request is being made and supply such evidence and information as the Council may require in support of the request. </w:t>
      </w:r>
    </w:p>
    <w:p w:rsidR="005F662D" w:rsidRDefault="0086031C" w:rsidP="00866AE2">
      <w:pPr>
        <w:pStyle w:val="NoSpacing"/>
        <w:rPr>
          <w:rFonts w:ascii="Arial" w:hAnsi="Arial" w:cs="Arial"/>
          <w:sz w:val="24"/>
        </w:rPr>
      </w:pPr>
      <w:r w:rsidRPr="00866AE2">
        <w:rPr>
          <w:rFonts w:ascii="Arial" w:hAnsi="Arial" w:cs="Arial"/>
          <w:sz w:val="24"/>
        </w:rPr>
        <w:t xml:space="preserve">If for any reason the request is not in a form that </w:t>
      </w:r>
      <w:r w:rsidR="001E5D99" w:rsidRPr="00866AE2">
        <w:rPr>
          <w:rFonts w:ascii="Arial" w:hAnsi="Arial" w:cs="Arial"/>
          <w:sz w:val="24"/>
        </w:rPr>
        <w:t>LBB</w:t>
      </w:r>
      <w:r w:rsidRPr="00866AE2">
        <w:rPr>
          <w:rFonts w:ascii="Arial" w:hAnsi="Arial" w:cs="Arial"/>
          <w:sz w:val="24"/>
        </w:rPr>
        <w:t xml:space="preserve"> can accept then the applicant will be supplied with a suitable form. </w:t>
      </w:r>
    </w:p>
    <w:p w:rsidR="002612B8" w:rsidRDefault="002612B8" w:rsidP="00866AE2">
      <w:pPr>
        <w:pStyle w:val="NoSpacing"/>
        <w:rPr>
          <w:rFonts w:ascii="Arial" w:hAnsi="Arial" w:cs="Arial"/>
          <w:sz w:val="24"/>
        </w:rPr>
      </w:pPr>
    </w:p>
    <w:p w:rsidR="001B0406" w:rsidRDefault="002612B8" w:rsidP="00866AE2">
      <w:pPr>
        <w:pStyle w:val="NoSpacing"/>
        <w:rPr>
          <w:rFonts w:ascii="Arial" w:hAnsi="Arial" w:cs="Arial"/>
          <w:sz w:val="24"/>
        </w:rPr>
      </w:pPr>
      <w:r>
        <w:rPr>
          <w:rFonts w:ascii="Arial" w:hAnsi="Arial" w:cs="Arial"/>
          <w:sz w:val="24"/>
        </w:rPr>
        <w:t>Should an overpayment of CTS arise due to Local Authority or official error</w:t>
      </w:r>
      <w:r w:rsidR="008D477D">
        <w:rPr>
          <w:rFonts w:ascii="Arial" w:hAnsi="Arial" w:cs="Arial"/>
          <w:sz w:val="24"/>
        </w:rPr>
        <w:t>, whereby the local authority contributed to the retrospective reduction and deem it unreasonable to suggest the resident would have known they were receiving too much entitlement</w:t>
      </w:r>
      <w:r>
        <w:rPr>
          <w:rFonts w:ascii="Arial" w:hAnsi="Arial" w:cs="Arial"/>
          <w:sz w:val="24"/>
        </w:rPr>
        <w:t xml:space="preserve">, residents can apply for a Discretionary Council Tax Hardship payment to offset the overpayment. </w:t>
      </w:r>
    </w:p>
    <w:p w:rsidR="001B0406" w:rsidRDefault="001B0406" w:rsidP="00866AE2">
      <w:pPr>
        <w:pStyle w:val="NoSpacing"/>
        <w:rPr>
          <w:rFonts w:ascii="Arial" w:hAnsi="Arial" w:cs="Arial"/>
          <w:sz w:val="24"/>
        </w:rPr>
      </w:pPr>
    </w:p>
    <w:p w:rsidR="001B0406" w:rsidRPr="001B0406" w:rsidRDefault="001B0406" w:rsidP="001B0406">
      <w:pPr>
        <w:autoSpaceDE w:val="0"/>
        <w:autoSpaceDN w:val="0"/>
        <w:jc w:val="both"/>
        <w:rPr>
          <w:rFonts w:ascii="Arial" w:hAnsi="Arial" w:cs="Arial"/>
          <w:sz w:val="24"/>
          <w:szCs w:val="24"/>
        </w:rPr>
      </w:pPr>
      <w:r w:rsidRPr="001B0406">
        <w:rPr>
          <w:rFonts w:ascii="Arial" w:hAnsi="Arial" w:cs="Arial"/>
          <w:sz w:val="24"/>
          <w:szCs w:val="24"/>
        </w:rPr>
        <w:t xml:space="preserve">Where practicable and the local authority is aware, the authority will make claimants aware of their ability to apply for support. </w:t>
      </w:r>
    </w:p>
    <w:p w:rsidR="002612B8" w:rsidRPr="00866AE2" w:rsidRDefault="002612B8" w:rsidP="00866AE2">
      <w:pPr>
        <w:pStyle w:val="NoSpacing"/>
        <w:rPr>
          <w:rFonts w:ascii="Arial" w:hAnsi="Arial" w:cs="Arial"/>
          <w:sz w:val="24"/>
        </w:rPr>
      </w:pPr>
      <w:r>
        <w:rPr>
          <w:rFonts w:ascii="Arial" w:hAnsi="Arial" w:cs="Arial"/>
          <w:sz w:val="24"/>
        </w:rPr>
        <w:t xml:space="preserve">Applications will be considered </w:t>
      </w:r>
      <w:r w:rsidR="00F13CB3">
        <w:rPr>
          <w:rFonts w:ascii="Arial" w:hAnsi="Arial" w:cs="Arial"/>
          <w:sz w:val="24"/>
        </w:rPr>
        <w:t>based on hardship and remain discretionary.</w:t>
      </w:r>
    </w:p>
    <w:p w:rsidR="008D477D" w:rsidRPr="008D477D" w:rsidRDefault="008D477D" w:rsidP="008D477D">
      <w:pPr>
        <w:rPr>
          <w:rFonts w:ascii="Arial" w:hAnsi="Arial" w:cs="Arial"/>
          <w:sz w:val="24"/>
          <w:szCs w:val="24"/>
        </w:rPr>
      </w:pPr>
    </w:p>
    <w:p w:rsidR="008D477D" w:rsidRPr="00866AE2" w:rsidRDefault="008D477D" w:rsidP="00866AE2">
      <w:pPr>
        <w:pStyle w:val="NoSpacing"/>
      </w:pPr>
    </w:p>
    <w:p w:rsidR="005F662D" w:rsidRDefault="0086031C" w:rsidP="00866AE2">
      <w:pPr>
        <w:pStyle w:val="Heading1"/>
        <w:jc w:val="both"/>
      </w:pPr>
      <w:bookmarkStart w:id="12" w:name="_Toc527460512"/>
      <w:r>
        <w:t>1</w:t>
      </w:r>
      <w:r w:rsidR="00582BFC">
        <w:t>2</w:t>
      </w:r>
      <w:r>
        <w:t xml:space="preserve"> Time and manner of granting relief and recoveries / over</w:t>
      </w:r>
      <w:r>
        <w:softHyphen/>
        <w:t>payments</w:t>
      </w:r>
      <w:bookmarkEnd w:id="12"/>
      <w:r>
        <w:t xml:space="preserve"> </w:t>
      </w:r>
    </w:p>
    <w:p w:rsidR="00374B13" w:rsidRDefault="00374B13" w:rsidP="00866AE2">
      <w:pPr>
        <w:pStyle w:val="NoSpacing"/>
        <w:jc w:val="both"/>
      </w:pPr>
    </w:p>
    <w:p w:rsidR="005F662D" w:rsidRPr="00C82670" w:rsidRDefault="0086031C" w:rsidP="00866AE2">
      <w:pPr>
        <w:pStyle w:val="CM26"/>
        <w:spacing w:after="275" w:line="276" w:lineRule="atLeast"/>
        <w:ind w:right="67"/>
        <w:jc w:val="both"/>
      </w:pPr>
      <w:r w:rsidRPr="00C82670">
        <w:t xml:space="preserve">Where the </w:t>
      </w:r>
      <w:r w:rsidR="00C82670">
        <w:t>Council T</w:t>
      </w:r>
      <w:r w:rsidRPr="00C82670">
        <w:t xml:space="preserve">ax payer is entitled to an increase or decrease in their reductions following a reported change of circumstance, </w:t>
      </w:r>
      <w:r w:rsidR="00CD11FC">
        <w:t>LBB</w:t>
      </w:r>
      <w:r w:rsidRPr="00C82670">
        <w:t xml:space="preserve"> </w:t>
      </w:r>
      <w:r w:rsidR="00CD11FC">
        <w:t>will</w:t>
      </w:r>
      <w:r w:rsidRPr="00C82670">
        <w:t xml:space="preserve"> issue a substitute demand notice </w:t>
      </w:r>
      <w:proofErr w:type="gramStart"/>
      <w:r w:rsidRPr="00C82670">
        <w:t>taking into account</w:t>
      </w:r>
      <w:proofErr w:type="gramEnd"/>
      <w:r w:rsidRPr="00C82670">
        <w:t xml:space="preserve"> the increase or decrease in liability. </w:t>
      </w:r>
    </w:p>
    <w:p w:rsidR="00374B13" w:rsidRDefault="00CD11FC" w:rsidP="00866AE2">
      <w:pPr>
        <w:pStyle w:val="CM5"/>
        <w:jc w:val="both"/>
      </w:pPr>
      <w:r>
        <w:t>LBB</w:t>
      </w:r>
      <w:r w:rsidR="0086031C" w:rsidRPr="00C82670">
        <w:t xml:space="preserve"> will</w:t>
      </w:r>
      <w:r w:rsidR="00374B13">
        <w:t>:</w:t>
      </w:r>
    </w:p>
    <w:p w:rsidR="005F662D" w:rsidRPr="00C82670" w:rsidRDefault="0086031C" w:rsidP="00866AE2">
      <w:pPr>
        <w:pStyle w:val="CM5"/>
        <w:jc w:val="both"/>
      </w:pPr>
      <w:r w:rsidRPr="00C82670">
        <w:t xml:space="preserve"> </w:t>
      </w:r>
    </w:p>
    <w:p w:rsidR="005F662D" w:rsidRDefault="00C82670" w:rsidP="00866AE2">
      <w:pPr>
        <w:pStyle w:val="Default"/>
        <w:numPr>
          <w:ilvl w:val="0"/>
          <w:numId w:val="12"/>
        </w:numPr>
        <w:spacing w:after="20"/>
        <w:jc w:val="both"/>
        <w:rPr>
          <w:color w:val="auto"/>
        </w:rPr>
      </w:pPr>
      <w:r w:rsidRPr="00C82670">
        <w:rPr>
          <w:color w:val="auto"/>
        </w:rPr>
        <w:t>Recover</w:t>
      </w:r>
      <w:r w:rsidR="0086031C" w:rsidRPr="00C82670">
        <w:rPr>
          <w:color w:val="auto"/>
        </w:rPr>
        <w:t xml:space="preserve"> over-entitlement of council tax support – this </w:t>
      </w:r>
      <w:r w:rsidR="00CD11FC">
        <w:rPr>
          <w:color w:val="auto"/>
        </w:rPr>
        <w:t xml:space="preserve">will be </w:t>
      </w:r>
      <w:r w:rsidR="00374B13">
        <w:rPr>
          <w:color w:val="auto"/>
        </w:rPr>
        <w:t>treated as</w:t>
      </w:r>
      <w:r w:rsidR="00CD11FC">
        <w:rPr>
          <w:color w:val="auto"/>
        </w:rPr>
        <w:t xml:space="preserve"> </w:t>
      </w:r>
      <w:r w:rsidR="00374B13">
        <w:rPr>
          <w:color w:val="auto"/>
        </w:rPr>
        <w:t xml:space="preserve">an </w:t>
      </w:r>
      <w:r w:rsidR="00374B13" w:rsidRPr="00C82670">
        <w:rPr>
          <w:color w:val="auto"/>
        </w:rPr>
        <w:t>underpayment</w:t>
      </w:r>
      <w:r w:rsidR="0086031C" w:rsidRPr="00C82670">
        <w:rPr>
          <w:color w:val="auto"/>
        </w:rPr>
        <w:t xml:space="preserve"> of </w:t>
      </w:r>
      <w:r>
        <w:rPr>
          <w:color w:val="auto"/>
        </w:rPr>
        <w:t>C</w:t>
      </w:r>
      <w:r w:rsidR="0086031C" w:rsidRPr="00C82670">
        <w:rPr>
          <w:color w:val="auto"/>
        </w:rPr>
        <w:t xml:space="preserve">ouncil </w:t>
      </w:r>
      <w:r>
        <w:rPr>
          <w:color w:val="auto"/>
        </w:rPr>
        <w:t>T</w:t>
      </w:r>
      <w:r w:rsidR="0086031C" w:rsidRPr="00C82670">
        <w:rPr>
          <w:color w:val="auto"/>
        </w:rPr>
        <w:t>ax</w:t>
      </w:r>
      <w:r w:rsidR="00CD11FC">
        <w:rPr>
          <w:color w:val="auto"/>
        </w:rPr>
        <w:t xml:space="preserve"> and collected via Council Tax enforcement methods</w:t>
      </w:r>
      <w:r w:rsidR="0086031C" w:rsidRPr="00C82670">
        <w:rPr>
          <w:color w:val="auto"/>
        </w:rPr>
        <w:t xml:space="preserve">; </w:t>
      </w:r>
    </w:p>
    <w:p w:rsidR="00374B13" w:rsidRDefault="00374B13" w:rsidP="00866AE2">
      <w:pPr>
        <w:pStyle w:val="Default"/>
        <w:spacing w:after="20"/>
        <w:ind w:left="720"/>
        <w:jc w:val="both"/>
        <w:rPr>
          <w:color w:val="auto"/>
        </w:rPr>
      </w:pPr>
    </w:p>
    <w:p w:rsidR="00374B13" w:rsidRDefault="00C82670" w:rsidP="00866AE2">
      <w:pPr>
        <w:pStyle w:val="Default"/>
        <w:numPr>
          <w:ilvl w:val="0"/>
          <w:numId w:val="12"/>
        </w:numPr>
        <w:spacing w:after="20"/>
        <w:jc w:val="both"/>
        <w:rPr>
          <w:color w:val="auto"/>
        </w:rPr>
      </w:pPr>
      <w:r w:rsidRPr="00C82670">
        <w:rPr>
          <w:color w:val="auto"/>
        </w:rPr>
        <w:t>Take</w:t>
      </w:r>
      <w:r w:rsidR="0086031C" w:rsidRPr="00C82670">
        <w:rPr>
          <w:color w:val="auto"/>
        </w:rPr>
        <w:t xml:space="preserve"> recovery action according to the circumstances of the applicant; </w:t>
      </w:r>
    </w:p>
    <w:p w:rsidR="00374B13" w:rsidRDefault="00374B13" w:rsidP="00866AE2">
      <w:pPr>
        <w:pStyle w:val="Default"/>
        <w:spacing w:after="20"/>
        <w:ind w:left="720"/>
        <w:jc w:val="both"/>
        <w:rPr>
          <w:color w:val="auto"/>
        </w:rPr>
      </w:pPr>
    </w:p>
    <w:p w:rsidR="00F13CB3" w:rsidRPr="00F13CB3" w:rsidRDefault="00C82670" w:rsidP="00F13CB3">
      <w:pPr>
        <w:pStyle w:val="Default"/>
        <w:numPr>
          <w:ilvl w:val="0"/>
          <w:numId w:val="12"/>
        </w:numPr>
        <w:spacing w:after="20"/>
        <w:jc w:val="both"/>
        <w:rPr>
          <w:color w:val="auto"/>
        </w:rPr>
      </w:pPr>
      <w:r w:rsidRPr="00374B13">
        <w:rPr>
          <w:color w:val="auto"/>
        </w:rPr>
        <w:t>Credit</w:t>
      </w:r>
      <w:r w:rsidR="0086031C" w:rsidRPr="00374B13">
        <w:rPr>
          <w:color w:val="auto"/>
        </w:rPr>
        <w:t xml:space="preserve"> the </w:t>
      </w:r>
      <w:r w:rsidRPr="00374B13">
        <w:rPr>
          <w:color w:val="auto"/>
        </w:rPr>
        <w:t>C</w:t>
      </w:r>
      <w:r w:rsidR="0086031C" w:rsidRPr="00374B13">
        <w:rPr>
          <w:color w:val="auto"/>
        </w:rPr>
        <w:t xml:space="preserve">ouncil </w:t>
      </w:r>
      <w:r w:rsidRPr="00374B13">
        <w:rPr>
          <w:color w:val="auto"/>
        </w:rPr>
        <w:t>T</w:t>
      </w:r>
      <w:r w:rsidR="0086031C" w:rsidRPr="00374B13">
        <w:rPr>
          <w:color w:val="auto"/>
        </w:rPr>
        <w:t xml:space="preserve">ax account with any underpayment of CTS. </w:t>
      </w:r>
    </w:p>
    <w:p w:rsidR="00174157" w:rsidRDefault="00174157" w:rsidP="00866AE2">
      <w:pPr>
        <w:pStyle w:val="CM5"/>
        <w:jc w:val="both"/>
      </w:pPr>
    </w:p>
    <w:p w:rsidR="00F13CB3" w:rsidRDefault="00F13CB3" w:rsidP="00866AE2">
      <w:pPr>
        <w:jc w:val="both"/>
        <w:rPr>
          <w:rFonts w:ascii="Arial" w:hAnsi="Arial" w:cs="Arial"/>
          <w:b/>
          <w:bCs/>
          <w:sz w:val="32"/>
          <w:szCs w:val="32"/>
        </w:rPr>
      </w:pPr>
    </w:p>
    <w:p w:rsidR="008D477D" w:rsidRDefault="008D477D" w:rsidP="00866AE2">
      <w:pPr>
        <w:jc w:val="both"/>
        <w:rPr>
          <w:rFonts w:ascii="Arial" w:hAnsi="Arial" w:cs="Arial"/>
          <w:b/>
          <w:bCs/>
          <w:sz w:val="32"/>
          <w:szCs w:val="32"/>
        </w:rPr>
      </w:pPr>
    </w:p>
    <w:p w:rsidR="008D477D" w:rsidRDefault="008D477D" w:rsidP="00866AE2">
      <w:pPr>
        <w:jc w:val="both"/>
        <w:rPr>
          <w:rFonts w:ascii="Arial" w:hAnsi="Arial" w:cs="Arial"/>
          <w:b/>
          <w:bCs/>
          <w:sz w:val="32"/>
          <w:szCs w:val="32"/>
        </w:rPr>
      </w:pPr>
    </w:p>
    <w:p w:rsidR="00684738" w:rsidRPr="00F005F8" w:rsidRDefault="00FF5E07" w:rsidP="00866AE2">
      <w:pPr>
        <w:jc w:val="both"/>
        <w:rPr>
          <w:rFonts w:ascii="Arial" w:hAnsi="Arial" w:cs="Arial"/>
          <w:b/>
          <w:bCs/>
          <w:sz w:val="32"/>
          <w:szCs w:val="32"/>
        </w:rPr>
      </w:pPr>
      <w:r w:rsidRPr="00F005F8">
        <w:rPr>
          <w:rFonts w:ascii="Arial" w:hAnsi="Arial" w:cs="Arial"/>
          <w:b/>
          <w:bCs/>
          <w:sz w:val="32"/>
          <w:szCs w:val="32"/>
        </w:rPr>
        <w:t>Effective f</w:t>
      </w:r>
      <w:r w:rsidR="00684738" w:rsidRPr="00F005F8">
        <w:rPr>
          <w:rFonts w:ascii="Arial" w:hAnsi="Arial" w:cs="Arial"/>
          <w:b/>
          <w:bCs/>
          <w:sz w:val="32"/>
          <w:szCs w:val="32"/>
        </w:rPr>
        <w:t>rom 1 April 20</w:t>
      </w:r>
      <w:r w:rsidR="002612B8">
        <w:rPr>
          <w:rFonts w:ascii="Arial" w:hAnsi="Arial" w:cs="Arial"/>
          <w:b/>
          <w:bCs/>
          <w:sz w:val="32"/>
          <w:szCs w:val="32"/>
        </w:rPr>
        <w:t>20</w:t>
      </w:r>
    </w:p>
    <w:p w:rsidR="00684738" w:rsidRDefault="00684738" w:rsidP="00866AE2">
      <w:pPr>
        <w:pStyle w:val="Heading1"/>
        <w:jc w:val="both"/>
      </w:pPr>
      <w:bookmarkStart w:id="13" w:name="_Toc527460513"/>
      <w:r>
        <w:t xml:space="preserve">Appendix </w:t>
      </w:r>
      <w:r w:rsidR="00174157">
        <w:t>A</w:t>
      </w:r>
      <w:r>
        <w:t xml:space="preserve"> Protected Groups</w:t>
      </w:r>
      <w:bookmarkEnd w:id="13"/>
      <w:r>
        <w:t xml:space="preserve"> </w:t>
      </w:r>
    </w:p>
    <w:tbl>
      <w:tblPr>
        <w:tblStyle w:val="TableGrid"/>
        <w:tblW w:w="0" w:type="auto"/>
        <w:tblLook w:val="04A0" w:firstRow="1" w:lastRow="0" w:firstColumn="1" w:lastColumn="0" w:noHBand="0" w:noVBand="1"/>
      </w:tblPr>
      <w:tblGrid>
        <w:gridCol w:w="9242"/>
      </w:tblGrid>
      <w:tr w:rsidR="00684738" w:rsidRPr="006E4683" w:rsidTr="00E45053">
        <w:tc>
          <w:tcPr>
            <w:tcW w:w="9242" w:type="dxa"/>
          </w:tcPr>
          <w:p w:rsidR="00684738" w:rsidRPr="00F005F8" w:rsidRDefault="00684738" w:rsidP="00866AE2">
            <w:pPr>
              <w:pStyle w:val="CM5"/>
              <w:jc w:val="both"/>
            </w:pPr>
            <w:r w:rsidRPr="00F005F8">
              <w:rPr>
                <w:bCs/>
              </w:rPr>
              <w:t xml:space="preserve">Protected group </w:t>
            </w:r>
          </w:p>
        </w:tc>
      </w:tr>
      <w:tr w:rsidR="00684738" w:rsidRPr="006E4683" w:rsidTr="00F13CB3">
        <w:trPr>
          <w:trHeight w:val="1799"/>
        </w:trPr>
        <w:tc>
          <w:tcPr>
            <w:tcW w:w="9242" w:type="dxa"/>
            <w:vAlign w:val="center"/>
          </w:tcPr>
          <w:p w:rsidR="002612B8" w:rsidRDefault="00684738" w:rsidP="002612B8">
            <w:pPr>
              <w:pStyle w:val="CM25"/>
              <w:spacing w:after="502" w:line="276" w:lineRule="atLeast"/>
              <w:jc w:val="both"/>
            </w:pPr>
            <w:r w:rsidRPr="00F005F8">
              <w:t xml:space="preserve">Where claimant or partner receives a </w:t>
            </w:r>
            <w:r w:rsidR="00C82670">
              <w:t>W</w:t>
            </w:r>
            <w:r w:rsidRPr="00F005F8">
              <w:t xml:space="preserve">ar </w:t>
            </w:r>
            <w:r w:rsidR="00C82670">
              <w:t>Pension, or a W</w:t>
            </w:r>
            <w:r w:rsidRPr="00F005F8">
              <w:t xml:space="preserve">ar </w:t>
            </w:r>
            <w:r w:rsidR="00C82670">
              <w:t>W</w:t>
            </w:r>
            <w:r w:rsidRPr="00F005F8">
              <w:t>idow(</w:t>
            </w:r>
            <w:proofErr w:type="spellStart"/>
            <w:r w:rsidRPr="00F005F8">
              <w:t>ers</w:t>
            </w:r>
            <w:proofErr w:type="spellEnd"/>
            <w:r w:rsidRPr="00F005F8">
              <w:t xml:space="preserve">) pension, or a </w:t>
            </w:r>
            <w:r w:rsidR="00C82670">
              <w:t>W</w:t>
            </w:r>
            <w:r w:rsidRPr="00F005F8">
              <w:t xml:space="preserve">ar </w:t>
            </w:r>
            <w:r w:rsidR="00C82670">
              <w:t>D</w:t>
            </w:r>
            <w:r w:rsidRPr="00F005F8">
              <w:t xml:space="preserve">isablement </w:t>
            </w:r>
            <w:r w:rsidR="00C82670">
              <w:t>P</w:t>
            </w:r>
            <w:r w:rsidRPr="00F005F8">
              <w:t>ension or a regular payment under the armed forces compensation scheme</w:t>
            </w:r>
            <w:r w:rsidR="00C82670">
              <w:t>.</w:t>
            </w:r>
          </w:p>
          <w:p w:rsidR="002612B8" w:rsidRPr="002612B8" w:rsidRDefault="002612B8" w:rsidP="002612B8">
            <w:pPr>
              <w:pStyle w:val="CM25"/>
              <w:spacing w:after="502" w:line="276" w:lineRule="atLeast"/>
              <w:jc w:val="both"/>
            </w:pPr>
          </w:p>
        </w:tc>
      </w:tr>
    </w:tbl>
    <w:p w:rsidR="00684738" w:rsidRDefault="00684738" w:rsidP="00866AE2">
      <w:pPr>
        <w:pStyle w:val="Heading1"/>
        <w:jc w:val="both"/>
      </w:pPr>
      <w:bookmarkStart w:id="14" w:name="_Toc527460514"/>
      <w:r>
        <w:t xml:space="preserve">Appendix </w:t>
      </w:r>
      <w:r w:rsidR="00174157">
        <w:t>B</w:t>
      </w:r>
      <w:r>
        <w:t xml:space="preserve"> Non-Dependant deductions</w:t>
      </w:r>
      <w:bookmarkEnd w:id="1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6"/>
        <w:gridCol w:w="2747"/>
      </w:tblGrid>
      <w:tr w:rsidR="005C7EA1" w:rsidRPr="004C4E60" w:rsidTr="00FF5E07">
        <w:trPr>
          <w:trHeight w:val="151"/>
        </w:trPr>
        <w:tc>
          <w:tcPr>
            <w:tcW w:w="5786" w:type="dxa"/>
            <w:vAlign w:val="center"/>
            <w:hideMark/>
          </w:tcPr>
          <w:p w:rsidR="00684738" w:rsidRPr="004C4E60" w:rsidRDefault="00684738" w:rsidP="00866AE2">
            <w:pPr>
              <w:pStyle w:val="Default"/>
              <w:spacing w:line="276" w:lineRule="auto"/>
              <w:jc w:val="both"/>
              <w:rPr>
                <w:color w:val="auto"/>
              </w:rPr>
            </w:pPr>
            <w:r w:rsidRPr="004C4E60">
              <w:rPr>
                <w:bCs/>
                <w:color w:val="auto"/>
              </w:rPr>
              <w:t xml:space="preserve">Description </w:t>
            </w:r>
          </w:p>
        </w:tc>
        <w:tc>
          <w:tcPr>
            <w:tcW w:w="2747" w:type="dxa"/>
            <w:vAlign w:val="center"/>
            <w:hideMark/>
          </w:tcPr>
          <w:p w:rsidR="00684738" w:rsidRPr="004C4E60" w:rsidRDefault="00684738" w:rsidP="00866AE2">
            <w:pPr>
              <w:pStyle w:val="Default"/>
              <w:spacing w:line="276" w:lineRule="auto"/>
              <w:jc w:val="both"/>
              <w:rPr>
                <w:color w:val="auto"/>
              </w:rPr>
            </w:pPr>
            <w:r w:rsidRPr="004C4E60">
              <w:rPr>
                <w:bCs/>
                <w:color w:val="auto"/>
              </w:rPr>
              <w:t xml:space="preserve">Deduction </w:t>
            </w:r>
          </w:p>
        </w:tc>
      </w:tr>
      <w:tr w:rsidR="005C7EA1" w:rsidRPr="004C4E60" w:rsidTr="00FF5E07">
        <w:trPr>
          <w:trHeight w:val="556"/>
        </w:trPr>
        <w:tc>
          <w:tcPr>
            <w:tcW w:w="5786" w:type="dxa"/>
            <w:hideMark/>
          </w:tcPr>
          <w:p w:rsidR="00684738" w:rsidRPr="004C4E60" w:rsidRDefault="00684738" w:rsidP="00866AE2">
            <w:pPr>
              <w:pStyle w:val="Default"/>
              <w:spacing w:line="276" w:lineRule="auto"/>
              <w:jc w:val="both"/>
              <w:rPr>
                <w:color w:val="auto"/>
              </w:rPr>
            </w:pPr>
            <w:r w:rsidRPr="004C4E60">
              <w:rPr>
                <w:bCs/>
                <w:color w:val="auto"/>
              </w:rPr>
              <w:t>Gross income greater than or equal to £</w:t>
            </w:r>
            <w:r w:rsidR="00174157">
              <w:rPr>
                <w:bCs/>
                <w:color w:val="auto"/>
              </w:rPr>
              <w:t>200.00</w:t>
            </w:r>
            <w:r w:rsidR="00FB10FB" w:rsidRPr="004C4E60">
              <w:rPr>
                <w:color w:val="auto"/>
              </w:rPr>
              <w:t xml:space="preserve"> </w:t>
            </w:r>
            <w:r w:rsidR="00C82670">
              <w:rPr>
                <w:bCs/>
                <w:color w:val="auto"/>
              </w:rPr>
              <w:t xml:space="preserve">per </w:t>
            </w:r>
            <w:r w:rsidR="00F76A9A" w:rsidRPr="004C4E60">
              <w:rPr>
                <w:bCs/>
                <w:color w:val="auto"/>
              </w:rPr>
              <w:t>w</w:t>
            </w:r>
            <w:r w:rsidR="00174157">
              <w:rPr>
                <w:bCs/>
                <w:color w:val="auto"/>
              </w:rPr>
              <w:t>eek.</w:t>
            </w:r>
          </w:p>
        </w:tc>
        <w:tc>
          <w:tcPr>
            <w:tcW w:w="2747" w:type="dxa"/>
            <w:hideMark/>
          </w:tcPr>
          <w:p w:rsidR="00684738" w:rsidRPr="004C4E60" w:rsidRDefault="00684738" w:rsidP="00866AE2">
            <w:pPr>
              <w:pStyle w:val="Default"/>
              <w:spacing w:line="276" w:lineRule="auto"/>
              <w:jc w:val="both"/>
              <w:rPr>
                <w:color w:val="auto"/>
              </w:rPr>
            </w:pPr>
            <w:r w:rsidRPr="004C4E60">
              <w:rPr>
                <w:bCs/>
                <w:color w:val="auto"/>
              </w:rPr>
              <w:t>£</w:t>
            </w:r>
            <w:r w:rsidR="005C7EA1" w:rsidRPr="004C4E60">
              <w:rPr>
                <w:color w:val="auto"/>
              </w:rPr>
              <w:t>11.</w:t>
            </w:r>
            <w:r w:rsidR="00174157">
              <w:rPr>
                <w:color w:val="auto"/>
              </w:rPr>
              <w:t>0</w:t>
            </w:r>
            <w:r w:rsidR="00B72782">
              <w:rPr>
                <w:color w:val="auto"/>
              </w:rPr>
              <w:t>0</w:t>
            </w:r>
            <w:r w:rsidR="00FB10FB" w:rsidRPr="004C4E60">
              <w:rPr>
                <w:color w:val="auto"/>
              </w:rPr>
              <w:t xml:space="preserve"> </w:t>
            </w:r>
            <w:r w:rsidR="00C82670">
              <w:rPr>
                <w:color w:val="auto"/>
              </w:rPr>
              <w:t xml:space="preserve">per </w:t>
            </w:r>
            <w:r w:rsidR="00C82670">
              <w:rPr>
                <w:bCs/>
                <w:color w:val="auto"/>
              </w:rPr>
              <w:t>week</w:t>
            </w:r>
            <w:r w:rsidRPr="004C4E60">
              <w:rPr>
                <w:bCs/>
                <w:color w:val="auto"/>
              </w:rPr>
              <w:t xml:space="preserve"> </w:t>
            </w:r>
          </w:p>
        </w:tc>
      </w:tr>
      <w:tr w:rsidR="005C7EA1" w:rsidRPr="004C4E60" w:rsidTr="00FF5E07">
        <w:trPr>
          <w:trHeight w:val="418"/>
        </w:trPr>
        <w:tc>
          <w:tcPr>
            <w:tcW w:w="5786" w:type="dxa"/>
            <w:hideMark/>
          </w:tcPr>
          <w:p w:rsidR="00684738" w:rsidRPr="004C4E60" w:rsidRDefault="00684738" w:rsidP="00866AE2">
            <w:pPr>
              <w:pStyle w:val="Default"/>
              <w:spacing w:line="276" w:lineRule="auto"/>
              <w:jc w:val="both"/>
              <w:rPr>
                <w:color w:val="auto"/>
              </w:rPr>
            </w:pPr>
            <w:r w:rsidRPr="004C4E60">
              <w:rPr>
                <w:bCs/>
                <w:color w:val="auto"/>
              </w:rPr>
              <w:t>Gross income less than or equal to £</w:t>
            </w:r>
            <w:r w:rsidR="005C7EA1" w:rsidRPr="004C4E60">
              <w:rPr>
                <w:color w:val="auto"/>
              </w:rPr>
              <w:t>1</w:t>
            </w:r>
            <w:r w:rsidR="00174157">
              <w:rPr>
                <w:color w:val="auto"/>
              </w:rPr>
              <w:t xml:space="preserve">99.99 </w:t>
            </w:r>
            <w:r w:rsidRPr="004C4E60">
              <w:rPr>
                <w:bCs/>
                <w:color w:val="auto"/>
              </w:rPr>
              <w:t>p</w:t>
            </w:r>
            <w:r w:rsidR="002E5D22">
              <w:rPr>
                <w:bCs/>
                <w:color w:val="auto"/>
              </w:rPr>
              <w:t>er</w:t>
            </w:r>
            <w:r w:rsidR="00F76A9A">
              <w:rPr>
                <w:bCs/>
                <w:color w:val="auto"/>
              </w:rPr>
              <w:t xml:space="preserve"> </w:t>
            </w:r>
            <w:r w:rsidRPr="004C4E60">
              <w:rPr>
                <w:bCs/>
                <w:color w:val="auto"/>
              </w:rPr>
              <w:t>w</w:t>
            </w:r>
            <w:r w:rsidR="002E5D22">
              <w:rPr>
                <w:bCs/>
                <w:color w:val="auto"/>
              </w:rPr>
              <w:t>eek</w:t>
            </w:r>
            <w:r w:rsidR="00174157">
              <w:rPr>
                <w:bCs/>
                <w:color w:val="auto"/>
              </w:rPr>
              <w:t>.</w:t>
            </w:r>
          </w:p>
        </w:tc>
        <w:tc>
          <w:tcPr>
            <w:tcW w:w="2747" w:type="dxa"/>
            <w:hideMark/>
          </w:tcPr>
          <w:p w:rsidR="00684738" w:rsidRPr="004C4E60" w:rsidRDefault="00684738" w:rsidP="00866AE2">
            <w:pPr>
              <w:pStyle w:val="Default"/>
              <w:spacing w:line="276" w:lineRule="auto"/>
              <w:jc w:val="both"/>
              <w:rPr>
                <w:color w:val="auto"/>
              </w:rPr>
            </w:pPr>
            <w:r w:rsidRPr="004C4E60">
              <w:rPr>
                <w:bCs/>
                <w:color w:val="auto"/>
              </w:rPr>
              <w:t>£</w:t>
            </w:r>
            <w:r w:rsidR="005C7EA1">
              <w:rPr>
                <w:bCs/>
                <w:color w:val="auto"/>
              </w:rPr>
              <w:t>5.00</w:t>
            </w:r>
            <w:r w:rsidRPr="004C4E60">
              <w:rPr>
                <w:bCs/>
                <w:color w:val="auto"/>
              </w:rPr>
              <w:t xml:space="preserve"> </w:t>
            </w:r>
            <w:r w:rsidR="00C82670">
              <w:rPr>
                <w:bCs/>
                <w:color w:val="auto"/>
              </w:rPr>
              <w:t>per week</w:t>
            </w:r>
            <w:r w:rsidRPr="004C4E60">
              <w:rPr>
                <w:bCs/>
                <w:color w:val="auto"/>
              </w:rPr>
              <w:t xml:space="preserve"> </w:t>
            </w:r>
          </w:p>
        </w:tc>
      </w:tr>
    </w:tbl>
    <w:p w:rsidR="00FF5E07" w:rsidRPr="00FF5E07" w:rsidRDefault="00FF5E07" w:rsidP="002612B8">
      <w:pPr>
        <w:pStyle w:val="CM28"/>
        <w:spacing w:after="567"/>
        <w:jc w:val="both"/>
        <w:rPr>
          <w:b/>
          <w:bCs/>
          <w:sz w:val="32"/>
          <w:szCs w:val="32"/>
        </w:rPr>
      </w:pPr>
    </w:p>
    <w:sectPr w:rsidR="00FF5E07" w:rsidRPr="00FF5E07" w:rsidSect="00D77595">
      <w:headerReference w:type="even" r:id="rId13"/>
      <w:headerReference w:type="default" r:id="rId14"/>
      <w:footerReference w:type="even" r:id="rId15"/>
      <w:footerReference w:type="default" r:id="rId16"/>
      <w:headerReference w:type="first" r:id="rId17"/>
      <w:footerReference w:type="first" r:id="rId18"/>
      <w:pgSz w:w="11906" w:h="17338"/>
      <w:pgMar w:top="567" w:right="829" w:bottom="911"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0BF" w:rsidRDefault="004F40BF" w:rsidP="00331624">
      <w:pPr>
        <w:spacing w:after="0" w:line="240" w:lineRule="auto"/>
      </w:pPr>
      <w:r>
        <w:separator/>
      </w:r>
    </w:p>
  </w:endnote>
  <w:endnote w:type="continuationSeparator" w:id="0">
    <w:p w:rsidR="004F40BF" w:rsidRDefault="004F40BF" w:rsidP="0033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B8" w:rsidRDefault="00261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391477"/>
      <w:docPartObj>
        <w:docPartGallery w:val="Page Numbers (Bottom of Page)"/>
        <w:docPartUnique/>
      </w:docPartObj>
    </w:sdtPr>
    <w:sdtEndPr>
      <w:rPr>
        <w:noProof/>
      </w:rPr>
    </w:sdtEndPr>
    <w:sdtContent>
      <w:p w:rsidR="002612B8" w:rsidRDefault="002612B8">
        <w:pPr>
          <w:pStyle w:val="Footer"/>
          <w:jc w:val="center"/>
        </w:pPr>
        <w:r>
          <w:fldChar w:fldCharType="begin"/>
        </w:r>
        <w:r>
          <w:instrText xml:space="preserve"> PAGE   \* MERGEFORMAT </w:instrText>
        </w:r>
        <w:r>
          <w:fldChar w:fldCharType="separate"/>
        </w:r>
        <w:r w:rsidR="00882B8C">
          <w:rPr>
            <w:noProof/>
          </w:rPr>
          <w:t>12</w:t>
        </w:r>
        <w:r>
          <w:rPr>
            <w:noProof/>
          </w:rPr>
          <w:fldChar w:fldCharType="end"/>
        </w:r>
      </w:p>
    </w:sdtContent>
  </w:sdt>
  <w:p w:rsidR="002612B8" w:rsidRDefault="00261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B8" w:rsidRDefault="00261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0BF" w:rsidRDefault="004F40BF" w:rsidP="00331624">
      <w:pPr>
        <w:spacing w:after="0" w:line="240" w:lineRule="auto"/>
      </w:pPr>
      <w:r>
        <w:separator/>
      </w:r>
    </w:p>
  </w:footnote>
  <w:footnote w:type="continuationSeparator" w:id="0">
    <w:p w:rsidR="004F40BF" w:rsidRDefault="004F40BF" w:rsidP="0033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B8" w:rsidRDefault="00261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B8" w:rsidRDefault="00261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B8" w:rsidRDefault="002612B8">
    <w:pPr>
      <w:pStyle w:val="Header"/>
    </w:pPr>
    <w:r>
      <w:rPr>
        <w:rFonts w:hint="eastAsia"/>
        <w:noProof/>
      </w:rPr>
      <w:drawing>
        <wp:anchor distT="0" distB="0" distL="114300" distR="114300" simplePos="0" relativeHeight="251659264" behindDoc="1" locked="0" layoutInCell="1" allowOverlap="1" wp14:anchorId="3AABACE6" wp14:editId="6714C1ED">
          <wp:simplePos x="0" y="0"/>
          <wp:positionH relativeFrom="page">
            <wp:posOffset>0</wp:posOffset>
          </wp:positionH>
          <wp:positionV relativeFrom="page">
            <wp:posOffset>339138</wp:posOffset>
          </wp:positionV>
          <wp:extent cx="7560000" cy="10699200"/>
          <wp:effectExtent l="0" t="0" r="3175" b="6985"/>
          <wp:wrapNone/>
          <wp:docPr id="3" name="Picture 1" descr="Description: Print and Design: Common_Files:•Templates:Indesign: Generic:000000_A4 Wor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int and Design: Common_Files:•Templates:Indesign: Generic:000000_A4 Word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FA7785"/>
    <w:multiLevelType w:val="hybridMultilevel"/>
    <w:tmpl w:val="314AA5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C6C2A8"/>
    <w:multiLevelType w:val="hybridMultilevel"/>
    <w:tmpl w:val="D81EDF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C0D3AA"/>
    <w:multiLevelType w:val="hybridMultilevel"/>
    <w:tmpl w:val="49213D8E"/>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7C06EE"/>
    <w:multiLevelType w:val="hybridMultilevel"/>
    <w:tmpl w:val="3E6AF9EA"/>
    <w:lvl w:ilvl="0" w:tplc="0A9413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60C68"/>
    <w:multiLevelType w:val="hybridMultilevel"/>
    <w:tmpl w:val="434A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456A6"/>
    <w:multiLevelType w:val="hybridMultilevel"/>
    <w:tmpl w:val="E448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67745"/>
    <w:multiLevelType w:val="hybridMultilevel"/>
    <w:tmpl w:val="FC92172C"/>
    <w:lvl w:ilvl="0" w:tplc="008A25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14DDF"/>
    <w:multiLevelType w:val="hybridMultilevel"/>
    <w:tmpl w:val="CB0FA9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97545D"/>
    <w:multiLevelType w:val="hybridMultilevel"/>
    <w:tmpl w:val="227E85C0"/>
    <w:lvl w:ilvl="0" w:tplc="A45AA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10B6F"/>
    <w:multiLevelType w:val="hybridMultilevel"/>
    <w:tmpl w:val="D314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5297D"/>
    <w:multiLevelType w:val="multilevel"/>
    <w:tmpl w:val="CAFA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26891"/>
    <w:multiLevelType w:val="hybridMultilevel"/>
    <w:tmpl w:val="C35181A5"/>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67056E0"/>
    <w:multiLevelType w:val="hybridMultilevel"/>
    <w:tmpl w:val="BA9A5B9C"/>
    <w:lvl w:ilvl="0" w:tplc="2F9E3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54AE5"/>
    <w:multiLevelType w:val="hybridMultilevel"/>
    <w:tmpl w:val="0C7A12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F74940"/>
    <w:multiLevelType w:val="hybridMultilevel"/>
    <w:tmpl w:val="A0E62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11"/>
  </w:num>
  <w:num w:numId="6">
    <w:abstractNumId w:val="9"/>
  </w:num>
  <w:num w:numId="7">
    <w:abstractNumId w:val="5"/>
  </w:num>
  <w:num w:numId="8">
    <w:abstractNumId w:val="13"/>
  </w:num>
  <w:num w:numId="9">
    <w:abstractNumId w:val="4"/>
  </w:num>
  <w:num w:numId="10">
    <w:abstractNumId w:val="10"/>
  </w:num>
  <w:num w:numId="11">
    <w:abstractNumId w:val="14"/>
  </w:num>
  <w:num w:numId="12">
    <w:abstractNumId w:val="8"/>
  </w:num>
  <w:num w:numId="13">
    <w:abstractNumId w:val="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LastOpened" w:val="16/10/2018 09:43"/>
  </w:docVars>
  <w:rsids>
    <w:rsidRoot w:val="00A50513"/>
    <w:rsid w:val="000018BC"/>
    <w:rsid w:val="0002310F"/>
    <w:rsid w:val="00037230"/>
    <w:rsid w:val="00041459"/>
    <w:rsid w:val="00050334"/>
    <w:rsid w:val="0005398C"/>
    <w:rsid w:val="000539AE"/>
    <w:rsid w:val="000725DA"/>
    <w:rsid w:val="00082C5F"/>
    <w:rsid w:val="000A2900"/>
    <w:rsid w:val="000A3F53"/>
    <w:rsid w:val="000E28A6"/>
    <w:rsid w:val="00103D0C"/>
    <w:rsid w:val="001523C2"/>
    <w:rsid w:val="001537A7"/>
    <w:rsid w:val="00161808"/>
    <w:rsid w:val="00174157"/>
    <w:rsid w:val="0017715B"/>
    <w:rsid w:val="00187B12"/>
    <w:rsid w:val="0019045B"/>
    <w:rsid w:val="001960DB"/>
    <w:rsid w:val="001962BD"/>
    <w:rsid w:val="001B0406"/>
    <w:rsid w:val="001B0C40"/>
    <w:rsid w:val="001B1E0F"/>
    <w:rsid w:val="001C1F59"/>
    <w:rsid w:val="001D0329"/>
    <w:rsid w:val="001E344D"/>
    <w:rsid w:val="001E5D99"/>
    <w:rsid w:val="0024164F"/>
    <w:rsid w:val="00260E5D"/>
    <w:rsid w:val="002612B8"/>
    <w:rsid w:val="002762D8"/>
    <w:rsid w:val="002772E3"/>
    <w:rsid w:val="002A38E7"/>
    <w:rsid w:val="002C3AEA"/>
    <w:rsid w:val="002E5D22"/>
    <w:rsid w:val="002F5115"/>
    <w:rsid w:val="00304CAA"/>
    <w:rsid w:val="00315C95"/>
    <w:rsid w:val="003169FC"/>
    <w:rsid w:val="00320A80"/>
    <w:rsid w:val="0032607A"/>
    <w:rsid w:val="00327196"/>
    <w:rsid w:val="00331624"/>
    <w:rsid w:val="00355150"/>
    <w:rsid w:val="00374B13"/>
    <w:rsid w:val="003F2054"/>
    <w:rsid w:val="003F4F4E"/>
    <w:rsid w:val="00453A12"/>
    <w:rsid w:val="00457021"/>
    <w:rsid w:val="004842E1"/>
    <w:rsid w:val="004A0BAF"/>
    <w:rsid w:val="004B2754"/>
    <w:rsid w:val="004B37E0"/>
    <w:rsid w:val="004C4E60"/>
    <w:rsid w:val="004D2755"/>
    <w:rsid w:val="004F40BF"/>
    <w:rsid w:val="005169F4"/>
    <w:rsid w:val="005345DB"/>
    <w:rsid w:val="005356DF"/>
    <w:rsid w:val="00543DC7"/>
    <w:rsid w:val="005520FB"/>
    <w:rsid w:val="005707D9"/>
    <w:rsid w:val="0057764B"/>
    <w:rsid w:val="00582BFC"/>
    <w:rsid w:val="005863B5"/>
    <w:rsid w:val="00593A4E"/>
    <w:rsid w:val="005A27B3"/>
    <w:rsid w:val="005B1A07"/>
    <w:rsid w:val="005C2F50"/>
    <w:rsid w:val="005C7EA1"/>
    <w:rsid w:val="005F662D"/>
    <w:rsid w:val="0062340C"/>
    <w:rsid w:val="00627904"/>
    <w:rsid w:val="00644FED"/>
    <w:rsid w:val="00653A1F"/>
    <w:rsid w:val="006607B8"/>
    <w:rsid w:val="00662232"/>
    <w:rsid w:val="006657AC"/>
    <w:rsid w:val="006736C5"/>
    <w:rsid w:val="00675F45"/>
    <w:rsid w:val="00677D97"/>
    <w:rsid w:val="00684738"/>
    <w:rsid w:val="006D070C"/>
    <w:rsid w:val="007111FD"/>
    <w:rsid w:val="00757272"/>
    <w:rsid w:val="0076784A"/>
    <w:rsid w:val="007741EE"/>
    <w:rsid w:val="00784D0A"/>
    <w:rsid w:val="007C7551"/>
    <w:rsid w:val="007E2F36"/>
    <w:rsid w:val="007E5ED4"/>
    <w:rsid w:val="007F24DF"/>
    <w:rsid w:val="00811562"/>
    <w:rsid w:val="00831D71"/>
    <w:rsid w:val="00836F8B"/>
    <w:rsid w:val="0086031C"/>
    <w:rsid w:val="0086120F"/>
    <w:rsid w:val="008645D6"/>
    <w:rsid w:val="008653CB"/>
    <w:rsid w:val="00866AE2"/>
    <w:rsid w:val="00870AFE"/>
    <w:rsid w:val="00882B8C"/>
    <w:rsid w:val="008D477D"/>
    <w:rsid w:val="008E3027"/>
    <w:rsid w:val="008E6EBD"/>
    <w:rsid w:val="008F1F01"/>
    <w:rsid w:val="00951315"/>
    <w:rsid w:val="00952B30"/>
    <w:rsid w:val="00952F58"/>
    <w:rsid w:val="00954A50"/>
    <w:rsid w:val="009769D4"/>
    <w:rsid w:val="00990E4B"/>
    <w:rsid w:val="00992F4B"/>
    <w:rsid w:val="009F624E"/>
    <w:rsid w:val="009F68BA"/>
    <w:rsid w:val="00A11EDE"/>
    <w:rsid w:val="00A23544"/>
    <w:rsid w:val="00A33E81"/>
    <w:rsid w:val="00A417E7"/>
    <w:rsid w:val="00A47C3E"/>
    <w:rsid w:val="00A50513"/>
    <w:rsid w:val="00A776F8"/>
    <w:rsid w:val="00A91D60"/>
    <w:rsid w:val="00B030E3"/>
    <w:rsid w:val="00B05456"/>
    <w:rsid w:val="00B11333"/>
    <w:rsid w:val="00B15DD4"/>
    <w:rsid w:val="00B275A9"/>
    <w:rsid w:val="00B42976"/>
    <w:rsid w:val="00B559B0"/>
    <w:rsid w:val="00B72782"/>
    <w:rsid w:val="00B80BA8"/>
    <w:rsid w:val="00B8214F"/>
    <w:rsid w:val="00B8570E"/>
    <w:rsid w:val="00B959D2"/>
    <w:rsid w:val="00B973B1"/>
    <w:rsid w:val="00BA13FC"/>
    <w:rsid w:val="00BC7386"/>
    <w:rsid w:val="00BE5250"/>
    <w:rsid w:val="00BF345E"/>
    <w:rsid w:val="00BF5A9F"/>
    <w:rsid w:val="00C359C1"/>
    <w:rsid w:val="00C35ED7"/>
    <w:rsid w:val="00C4452A"/>
    <w:rsid w:val="00C77DE3"/>
    <w:rsid w:val="00C82670"/>
    <w:rsid w:val="00CA08B4"/>
    <w:rsid w:val="00CB2BF8"/>
    <w:rsid w:val="00CC4C99"/>
    <w:rsid w:val="00CC7975"/>
    <w:rsid w:val="00CD11FC"/>
    <w:rsid w:val="00CD2C9E"/>
    <w:rsid w:val="00CE1C25"/>
    <w:rsid w:val="00D0141C"/>
    <w:rsid w:val="00D10062"/>
    <w:rsid w:val="00D42F7E"/>
    <w:rsid w:val="00D6432C"/>
    <w:rsid w:val="00D77595"/>
    <w:rsid w:val="00D81D3C"/>
    <w:rsid w:val="00DA2D10"/>
    <w:rsid w:val="00DB591D"/>
    <w:rsid w:val="00DB6E8F"/>
    <w:rsid w:val="00DC4602"/>
    <w:rsid w:val="00DF6C98"/>
    <w:rsid w:val="00E30A82"/>
    <w:rsid w:val="00E36A15"/>
    <w:rsid w:val="00E45053"/>
    <w:rsid w:val="00E549CE"/>
    <w:rsid w:val="00E931E2"/>
    <w:rsid w:val="00EE7585"/>
    <w:rsid w:val="00EF3F44"/>
    <w:rsid w:val="00F005EA"/>
    <w:rsid w:val="00F005F8"/>
    <w:rsid w:val="00F13CB3"/>
    <w:rsid w:val="00F15F9F"/>
    <w:rsid w:val="00F251FB"/>
    <w:rsid w:val="00F2587A"/>
    <w:rsid w:val="00F40324"/>
    <w:rsid w:val="00F75719"/>
    <w:rsid w:val="00F76A9A"/>
    <w:rsid w:val="00F76D78"/>
    <w:rsid w:val="00F82427"/>
    <w:rsid w:val="00FB10FB"/>
    <w:rsid w:val="00FD57E5"/>
    <w:rsid w:val="00FD7708"/>
    <w:rsid w:val="00FF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1CDA4"/>
  <w14:defaultImageDpi w14:val="0"/>
  <w15:docId w15:val="{85724F92-2DC5-4A18-BFA0-C342598C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70C"/>
    <w:pPr>
      <w:keepNext/>
      <w:keepLines/>
      <w:spacing w:before="480" w:after="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22">
    <w:name w:val="CM22"/>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408" w:lineRule="atLeast"/>
    </w:pPr>
    <w:rPr>
      <w:color w:val="auto"/>
    </w:rPr>
  </w:style>
  <w:style w:type="paragraph" w:customStyle="1" w:styleId="CM3">
    <w:name w:val="CM3"/>
    <w:basedOn w:val="Default"/>
    <w:next w:val="Default"/>
    <w:uiPriority w:val="99"/>
    <w:pPr>
      <w:spacing w:line="371" w:lineRule="atLeast"/>
    </w:pPr>
    <w:rPr>
      <w:color w:val="auto"/>
    </w:rPr>
  </w:style>
  <w:style w:type="paragraph" w:customStyle="1" w:styleId="CM4">
    <w:name w:val="CM4"/>
    <w:basedOn w:val="Default"/>
    <w:next w:val="Default"/>
    <w:uiPriority w:val="99"/>
    <w:pPr>
      <w:spacing w:line="308" w:lineRule="atLeast"/>
    </w:pPr>
    <w:rPr>
      <w:color w:val="auto"/>
    </w:rPr>
  </w:style>
  <w:style w:type="paragraph" w:customStyle="1" w:styleId="CM30">
    <w:name w:val="CM30"/>
    <w:basedOn w:val="Default"/>
    <w:next w:val="Default"/>
    <w:uiPriority w:val="99"/>
    <w:rPr>
      <w:color w:val="auto"/>
    </w:rPr>
  </w:style>
  <w:style w:type="paragraph" w:customStyle="1" w:styleId="CM23">
    <w:name w:val="CM23"/>
    <w:basedOn w:val="Default"/>
    <w:next w:val="Default"/>
    <w:uiPriority w:val="99"/>
    <w:rPr>
      <w:color w:val="auto"/>
    </w:rPr>
  </w:style>
  <w:style w:type="paragraph" w:customStyle="1" w:styleId="CM5">
    <w:name w:val="CM5"/>
    <w:basedOn w:val="Default"/>
    <w:next w:val="Default"/>
    <w:uiPriority w:val="99"/>
    <w:pPr>
      <w:spacing w:line="276" w:lineRule="atLeast"/>
    </w:pPr>
    <w:rPr>
      <w:color w:val="auto"/>
    </w:rPr>
  </w:style>
  <w:style w:type="paragraph" w:customStyle="1" w:styleId="CM26">
    <w:name w:val="CM26"/>
    <w:basedOn w:val="Default"/>
    <w:next w:val="Default"/>
    <w:uiPriority w:val="99"/>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8"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25">
    <w:name w:val="CM25"/>
    <w:basedOn w:val="Default"/>
    <w:next w:val="Default"/>
    <w:uiPriority w:val="99"/>
    <w:rPr>
      <w:color w:val="auto"/>
    </w:rPr>
  </w:style>
  <w:style w:type="paragraph" w:customStyle="1" w:styleId="CM28">
    <w:name w:val="CM28"/>
    <w:basedOn w:val="Default"/>
    <w:next w:val="Default"/>
    <w:uiPriority w:val="99"/>
    <w:rPr>
      <w:color w:val="auto"/>
    </w:rPr>
  </w:style>
  <w:style w:type="paragraph" w:customStyle="1" w:styleId="CM24">
    <w:name w:val="CM24"/>
    <w:basedOn w:val="Default"/>
    <w:next w:val="Default"/>
    <w:uiPriority w:val="99"/>
    <w:rPr>
      <w:color w:val="auto"/>
    </w:rPr>
  </w:style>
  <w:style w:type="paragraph" w:customStyle="1" w:styleId="CM29">
    <w:name w:val="CM29"/>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8">
    <w:name w:val="CM18"/>
    <w:basedOn w:val="Default"/>
    <w:next w:val="Default"/>
    <w:uiPriority w:val="99"/>
    <w:pPr>
      <w:spacing w:line="368" w:lineRule="atLeast"/>
    </w:pPr>
    <w:rPr>
      <w:color w:val="auto"/>
    </w:rPr>
  </w:style>
  <w:style w:type="paragraph" w:customStyle="1" w:styleId="CM19">
    <w:name w:val="CM19"/>
    <w:basedOn w:val="Default"/>
    <w:next w:val="Default"/>
    <w:uiPriority w:val="99"/>
    <w:pPr>
      <w:spacing w:line="276" w:lineRule="atLeast"/>
    </w:pPr>
    <w:rPr>
      <w:color w:val="auto"/>
    </w:rPr>
  </w:style>
  <w:style w:type="paragraph" w:customStyle="1" w:styleId="CM27">
    <w:name w:val="CM27"/>
    <w:basedOn w:val="Default"/>
    <w:next w:val="Default"/>
    <w:uiPriority w:val="99"/>
    <w:rPr>
      <w:color w:val="auto"/>
    </w:rPr>
  </w:style>
  <w:style w:type="paragraph" w:styleId="BalloonText">
    <w:name w:val="Balloon Text"/>
    <w:basedOn w:val="Normal"/>
    <w:link w:val="BalloonTextChar"/>
    <w:uiPriority w:val="99"/>
    <w:semiHidden/>
    <w:unhideWhenUsed/>
    <w:rsid w:val="00BF3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45E"/>
    <w:rPr>
      <w:rFonts w:ascii="Tahoma" w:hAnsi="Tahoma" w:cs="Tahoma"/>
      <w:sz w:val="16"/>
      <w:szCs w:val="16"/>
    </w:rPr>
  </w:style>
  <w:style w:type="table" w:styleId="TableGrid">
    <w:name w:val="Table Grid"/>
    <w:basedOn w:val="TableNormal"/>
    <w:uiPriority w:val="59"/>
    <w:rsid w:val="0068473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4738"/>
    <w:rPr>
      <w:sz w:val="16"/>
      <w:szCs w:val="16"/>
    </w:rPr>
  </w:style>
  <w:style w:type="paragraph" w:styleId="CommentText">
    <w:name w:val="annotation text"/>
    <w:basedOn w:val="Normal"/>
    <w:link w:val="CommentTextChar"/>
    <w:uiPriority w:val="99"/>
    <w:semiHidden/>
    <w:unhideWhenUsed/>
    <w:rsid w:val="00684738"/>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684738"/>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84738"/>
    <w:rPr>
      <w:rFonts w:eastAsiaTheme="minorEastAsia"/>
      <w:b/>
      <w:bCs/>
      <w:lang w:eastAsia="en-GB"/>
    </w:rPr>
  </w:style>
  <w:style w:type="character" w:customStyle="1" w:styleId="CommentSubjectChar">
    <w:name w:val="Comment Subject Char"/>
    <w:basedOn w:val="CommentTextChar"/>
    <w:link w:val="CommentSubject"/>
    <w:uiPriority w:val="99"/>
    <w:semiHidden/>
    <w:rsid w:val="00684738"/>
    <w:rPr>
      <w:rFonts w:eastAsiaTheme="minorHAnsi"/>
      <w:b/>
      <w:bCs/>
      <w:sz w:val="20"/>
      <w:szCs w:val="20"/>
      <w:lang w:eastAsia="en-US"/>
    </w:rPr>
  </w:style>
  <w:style w:type="paragraph" w:styleId="Header">
    <w:name w:val="header"/>
    <w:basedOn w:val="Normal"/>
    <w:link w:val="HeaderChar"/>
    <w:uiPriority w:val="99"/>
    <w:unhideWhenUsed/>
    <w:rsid w:val="00331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624"/>
  </w:style>
  <w:style w:type="paragraph" w:styleId="Footer">
    <w:name w:val="footer"/>
    <w:basedOn w:val="Normal"/>
    <w:link w:val="FooterChar"/>
    <w:uiPriority w:val="99"/>
    <w:unhideWhenUsed/>
    <w:rsid w:val="00331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624"/>
  </w:style>
  <w:style w:type="character" w:customStyle="1" w:styleId="Heading1Char">
    <w:name w:val="Heading 1 Char"/>
    <w:basedOn w:val="DefaultParagraphFont"/>
    <w:link w:val="Heading1"/>
    <w:uiPriority w:val="9"/>
    <w:rsid w:val="006D070C"/>
    <w:rPr>
      <w:rFonts w:ascii="Arial" w:eastAsiaTheme="majorEastAsia" w:hAnsi="Arial" w:cstheme="majorBidi"/>
      <w:b/>
      <w:bCs/>
      <w:sz w:val="28"/>
      <w:szCs w:val="28"/>
    </w:rPr>
  </w:style>
  <w:style w:type="paragraph" w:styleId="TOC1">
    <w:name w:val="toc 1"/>
    <w:basedOn w:val="Normal"/>
    <w:next w:val="Normal"/>
    <w:autoRedefine/>
    <w:uiPriority w:val="39"/>
    <w:unhideWhenUsed/>
    <w:rsid w:val="00593A4E"/>
    <w:pPr>
      <w:spacing w:after="100"/>
    </w:pPr>
  </w:style>
  <w:style w:type="character" w:styleId="Hyperlink">
    <w:name w:val="Hyperlink"/>
    <w:basedOn w:val="DefaultParagraphFont"/>
    <w:uiPriority w:val="99"/>
    <w:unhideWhenUsed/>
    <w:rsid w:val="00593A4E"/>
    <w:rPr>
      <w:color w:val="0000FF" w:themeColor="hyperlink"/>
      <w:u w:val="single"/>
    </w:rPr>
  </w:style>
  <w:style w:type="character" w:styleId="FollowedHyperlink">
    <w:name w:val="FollowedHyperlink"/>
    <w:basedOn w:val="DefaultParagraphFont"/>
    <w:uiPriority w:val="99"/>
    <w:semiHidden/>
    <w:unhideWhenUsed/>
    <w:rsid w:val="00103D0C"/>
    <w:rPr>
      <w:color w:val="800080" w:themeColor="followedHyperlink"/>
      <w:u w:val="single"/>
    </w:rPr>
  </w:style>
  <w:style w:type="paragraph" w:styleId="Revision">
    <w:name w:val="Revision"/>
    <w:hidden/>
    <w:uiPriority w:val="99"/>
    <w:semiHidden/>
    <w:rsid w:val="001D0329"/>
    <w:pPr>
      <w:spacing w:after="0" w:line="240" w:lineRule="auto"/>
    </w:pPr>
  </w:style>
  <w:style w:type="paragraph" w:styleId="ListParagraph">
    <w:name w:val="List Paragraph"/>
    <w:basedOn w:val="Normal"/>
    <w:link w:val="ListParagraphChar"/>
    <w:uiPriority w:val="34"/>
    <w:qFormat/>
    <w:rsid w:val="00B11333"/>
    <w:pPr>
      <w:ind w:left="720"/>
      <w:contextualSpacing/>
    </w:pPr>
    <w:rPr>
      <w:rFonts w:ascii="Arial" w:eastAsiaTheme="minorHAnsi" w:hAnsi="Arial" w:cs="Arial"/>
      <w:color w:val="000000"/>
      <w:sz w:val="24"/>
      <w:szCs w:val="24"/>
      <w:lang w:eastAsia="en-US"/>
    </w:rPr>
  </w:style>
  <w:style w:type="character" w:customStyle="1" w:styleId="ListParagraphChar">
    <w:name w:val="List Paragraph Char"/>
    <w:basedOn w:val="DefaultParagraphFont"/>
    <w:link w:val="ListParagraph"/>
    <w:uiPriority w:val="34"/>
    <w:rsid w:val="00B11333"/>
    <w:rPr>
      <w:rFonts w:ascii="Arial" w:eastAsiaTheme="minorHAnsi" w:hAnsi="Arial" w:cs="Arial"/>
      <w:color w:val="000000"/>
      <w:sz w:val="24"/>
      <w:szCs w:val="24"/>
      <w:lang w:eastAsia="en-US"/>
    </w:rPr>
  </w:style>
  <w:style w:type="paragraph" w:styleId="NormalWeb">
    <w:name w:val="Normal (Web)"/>
    <w:basedOn w:val="Normal"/>
    <w:uiPriority w:val="99"/>
    <w:semiHidden/>
    <w:unhideWhenUsed/>
    <w:rsid w:val="00C35ED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31D71"/>
    <w:pPr>
      <w:spacing w:after="0" w:line="240" w:lineRule="auto"/>
    </w:pPr>
  </w:style>
  <w:style w:type="character" w:styleId="UnresolvedMention">
    <w:name w:val="Unresolved Mention"/>
    <w:basedOn w:val="DefaultParagraphFont"/>
    <w:uiPriority w:val="99"/>
    <w:semiHidden/>
    <w:unhideWhenUsed/>
    <w:rsid w:val="00374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7063">
      <w:bodyDiv w:val="1"/>
      <w:marLeft w:val="0"/>
      <w:marRight w:val="0"/>
      <w:marTop w:val="0"/>
      <w:marBottom w:val="0"/>
      <w:divBdr>
        <w:top w:val="none" w:sz="0" w:space="0" w:color="auto"/>
        <w:left w:val="none" w:sz="0" w:space="0" w:color="auto"/>
        <w:bottom w:val="none" w:sz="0" w:space="0" w:color="auto"/>
        <w:right w:val="none" w:sz="0" w:space="0" w:color="auto"/>
      </w:divBdr>
    </w:div>
    <w:div w:id="1264648526">
      <w:bodyDiv w:val="1"/>
      <w:marLeft w:val="0"/>
      <w:marRight w:val="0"/>
      <w:marTop w:val="0"/>
      <w:marBottom w:val="0"/>
      <w:divBdr>
        <w:top w:val="none" w:sz="0" w:space="0" w:color="auto"/>
        <w:left w:val="none" w:sz="0" w:space="0" w:color="auto"/>
        <w:bottom w:val="none" w:sz="0" w:space="0" w:color="auto"/>
        <w:right w:val="none" w:sz="0" w:space="0" w:color="auto"/>
      </w:divBdr>
    </w:div>
    <w:div w:id="13743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luationtribunal.gov.uk/your-appeal-type/council-tax/council-tax-reduc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2/2886/contents/m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si/2012/2885/contents/m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uk/uksi/2012/2885/contents/ma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693F-707E-4543-89A6-A8E9C08A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Barnet's Council Tax Support Scheme April 2014</vt:lpstr>
    </vt:vector>
  </TitlesOfParts>
  <Company>LBB</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Barnet's Council Tax Support Scheme April 2014</dc:title>
  <dc:subject>Council Tax Support Scheme 2014</dc:subject>
  <dc:creator>London Borough of Barnet</dc:creator>
  <cp:keywords>CTS, CTRS, Council Tax Reduction Scheme, Council Tax Support, Council Tax Benefit replacement</cp:keywords>
  <cp:lastModifiedBy>Smith, Darren</cp:lastModifiedBy>
  <cp:revision>2</cp:revision>
  <cp:lastPrinted>2019-04-15T11:11:00Z</cp:lastPrinted>
  <dcterms:created xsi:type="dcterms:W3CDTF">2020-03-06T12:49:00Z</dcterms:created>
  <dcterms:modified xsi:type="dcterms:W3CDTF">2020-03-06T12:49:00Z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